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ATAS/339/2010 vom 31. März 2010</w:t>
      </w:r>
    </w:p>
    <w:p>
      <w:r>
        <w:t>GE Cour de justice, 2010-03-31, FR</w:t>
      </w:r>
    </w:p>
    <w:p>
      <w:r>
        <w:rPr>
          <w:b/>
        </w:rPr>
        <w:t xml:space="preserve">Quelle: </w:t>
      </w:r>
      <w:r>
        <w:t>https://mcp.opencaselaw.ch/entscheid/ge_gerichte_ATAS_339_2010</w:t>
      </w:r>
    </w:p>
    <w:p>
      <w:r>
        <w:t>FR: GE_GERICHTE ATAS/339/2010 du 31 mars 2010</w:t>
      </w:r>
    </w:p>
    <w:p>
      <w:r>
        <w:t>IT: GE_GERICHTE ATAS/339/2010 del 31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En l'espèce, la décision litigieuse datant du 28 octobre 2009, est postérieure à l'entrée en vigueur de la LPGA ainsi qu'à l'entrée en vigueur, le 1er janvier 2004 et le 1er janvier 2008, des modifications de la loi fédérale sur l'assurance-invalidité du 21 mars 2003 et du 6 octobre 2006 (4ème et 5ème révisions), cependant, les faits pertinents remontent à l’année 2001. Par conséquent, du point de vue matériel, le droit éventuel à une rente d'invalidité doit être examiné au regard de l'ancien droit pour la période jusqu'au 31 décembre 2002, et, après le 1er janvier 2003, respectivement le 1er janvier 2004 et le 1er janvier 2008, en fonction des nouvelles normes de la LPGA et des modifications de la LAI consécutives à la 4ème et la 5ème révisions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Le présent recours interjeté dans les forme et délai prévus par la loi est recevable (art. 56 à 61 LPGA et art. 38 al. 3 LPGA p.a.).</w:t>
      </w:r>
    </w:p>
    <w:p>
      <w:r>
        <w:rPr>
          <w:b/>
        </w:rPr>
        <w:t>E. 4</w:t>
      </w:r>
    </w:p>
    <w:p>
      <w:r>
        <w:t>La question litigieuse porte sur le point de savoir si l’intimé a, à juste titre, nié le droit de l’assurée à une rente d’invalidité.</w:t>
      </w:r>
    </w:p>
    <w:p>
      <w:r>
        <w:rPr>
          <w:b/>
        </w:rPr>
        <w:t>E. 5</w:t>
      </w:r>
    </w:p>
    <w:p>
      <w:r>
        <w:t>En vertu de l’art. 28 al. 1 LAI, dans sa teneur en vigueur jusqu'au 31 décembre 2003, l’assuré a droit à une rente entière s’il est invalide à 66 2/3 % au moins, à une demi-rente s’il est invalide à 50% au moins ou à un quart de rente s’il est invalide à</w:t>
      </w:r>
    </w:p>
    <w:p>
      <w:r>
        <w:t>A/4286/2009 - 9/18 - 40% au moins. Depuis le 1er janvier 2004 (4ème révision de la LAI), le taux d’invalidité requis pour une pleine rente est de 70% au moins, le taux de 60% au moins ouvrant le droit à trois-quarts de rente.</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7</w:t>
      </w:r>
    </w:p>
    <w:p>
      <w:r>
        <w:t>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w:t>
      </w:r>
    </w:p>
    <w:p>
      <w:r>
        <w:t>A/4286/2009 - 10/18 -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Par ailleurs, s’agissant des troubles dépressifs, il y a lieu d’observer que selon la doctrine médicale (cf. notamment DILLING/MOMBOUR/SCHMIDT [Hrsg.],</w:t>
      </w:r>
    </w:p>
    <w:p>
      <w:r>
        <w:t>A/4286/2009 - 11/18 -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8</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A/4286/2009 - 12/18 - assurances sociales, il y a lieu toutefois de poser des exigences sévères quant à l’impartialité de l’expert (ATF 125 V 351 consid. 3b/ee ; ATFA non publié du</w:t>
      </w:r>
    </w:p>
    <w:p>
      <w:r>
        <w:rPr>
          <w:b/>
        </w:rPr>
        <w:t>E. 13</w:t>
      </w:r>
    </w:p>
    <w:p>
      <w:r>
        <w:t>mars 2000, I 592/99).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a) En l'espèce, la recourante a fait l'objet d'une expertise par le Dr C__________, psychiatre, lequel est arrivé à la conclusion que celle-ci présentait une incapacité de travail de 100% depuis le 28 novembre 2001. A priori, cette expertise remplit tous les critères jurisprudentiels précités pour lui reconnaître une pleine valeur probante. Elle repose en effet sur des examens complets (trois entretiens avec la recourante et un entretien avec le médecin traitant), prend en considération les plaintes exprimées par la recourante et a été établi en pleine connaissance de l’anamnèse. Par ailleurs la description du contexte médical et l’appréciation de la situation médicale sont claires et les conclusions de l’expert sont dûment motivées. La Dresse D__________ dénie cependant toute valeur probante à cette expertise au motif que le Dr C__________ a retenu un trouble dépressif récurrent depuis 1996, alors même que la recourante avait encore pu travailler jusqu'à fin 2001.</w:t>
      </w:r>
    </w:p>
    <w:p>
      <w:r>
        <w:t>A/4286/2009 - 13/18 - Tel n'est cependant pas l'avis du Tribunal de céans. En effet, il ne paraît pas contradictoire de retenir un trouble dépressif d'intensité légère, suite au diagnostic de l'infection VIH en 1996, sans répercussion de la capacité de travail, puis un trouble dépressif d'intensité moyenne à sévère provoquant une incapacité de travail totale au moment où la recourante a appris son licenciement, en novembre 2001. C'est la résiliation du contrat de travail qui a clairement conduit à une aggravation du trouble dépressif, comme cela ressort du rapport du 8 janvier 2002 du Dr A__________, lequel a retenu un trouble de l'adaptation, réactionnel au contexte professionnel. L'état psychique ne s'est par la suite pas amélioré, dès lors que la recourante a dû être hospitalisée à la Clinique genevoise de Montana du 27 avril au</w:t>
      </w:r>
    </w:p>
    <w:p>
      <w:r>
        <w:rPr>
          <w:b/>
        </w:rPr>
        <w:t>E. 17</w:t>
      </w:r>
    </w:p>
    <w:p>
      <w:r>
        <w:t>mai 2004. Les médecins de cette clinique ont posé notamment le diagnostic de trouble dépressif récurrent, épisode actuel moyen. L'expert a par ailleurs exposé dans son rapport qu'outre l'enfance difficile et le divorce de la recourante, les problèmes de santé et la période de chômage contribuaient à la progression et à une évolution du trouble anxio-dépressif vers un trouble dépressif récurrent. Au moment de l'expertise, il notait également un retrait social, la recourante ne fréquentant plus la communauté philippine. Partant, il y a lieu d'admettre qu'au moment de l'examen de la recourante par le Dr C__________, en octobre 2004, celle-ci présentait une incapacité de travail totale pour des raisons psychiatriques. b) Par la suite, la recourante a été examiné par la Dresse D__________ en septembre 2005. Son rapport du 7 octobre 2005 est fondé sur un examen moins approfondi que celui du Dr C__________, dès lors qu'il repose sur un seul entretien avec la recourante et que le médecin du SMR n'a pas contacté le médecin traitant. Par ailleurs, comme relevé ci-dessus, ses conclusions ne sont pas convaincantes, en ce qu'elle a admis une capacité de travail totale "depuis toujours" et nié toute incapacité de travail depuis le 28 novembre 2001. Ses conclusions sont également contradictoires. En effet, d'une part, elle constate une "thymie neutre", tout en ajoutant "par moments souriante, à d'autres triste, avec les larmes aux yeux lorsque l'on évoque sa séropositivité et sa recherche vaine d'emploi" (p. 3 du rapport SMR). Elle relève également que "Cette souffrance est clairement objectivable" (p. 4 du rapport SMR). D'autre part, sous prétexte que l'origine de cette souffrance serait psychosociale, elle ne retient aucune atteinte psychiatrique, même pas dans les atteintes sans répercussion sur la capacité de travail, ce qui ne paraît pas correspondre aux constatations cliniques. On ne saurait en effet nier l'existence d'une affection psychique simplement en raison de son origine, d'autant plus que l'origine des pathologies psychiatriques se trouve fréquemment dans des facteurs psychosociaux. Le seul élément déterminant est la constatation d'une atteinte ayant valeur de maladie. Cela étant, une valeur probante ne peut être attribuée au rapport du SMR.</w:t>
      </w:r>
    </w:p>
    <w:p>
      <w:r>
        <w:t>A/4286/2009 - 14/18 - Toutefois, ce rapport n'est pas dépourvu de toute utilité, dans la mesure où il contient une description détaillée de la vie quotidienne de la recourante, que celle-ci n'a pas contestée dans son recours. Il en ressort qu'elle travaille environ deux fois par mois pour le Groupe SIDA-Genève dans l'emballage de préservatifs, donne des cours d'initiation à l'informatique à des compatriotes et chante dans une chorale. Elle garde aussi des enfants, si son état physique le permet. Par ailleurs, elle est en mesure de s'occuper de son ménage et cuisine. Sa vie sociale est riche, de nombreux amis l'invitent et elle téléphone régulièrement à sa famille aux Philippines. Enfin, elle apprécie de regarder des films à la télévision. Sur la base de ces éléments, il doit être admis que l'état psychique de la recourante s'est amélioré, au moment de l'examen par la Dresse D__________, et que le trouble dépressif ne peut plus être qualifié de moyen à sévère justifiant une incapacité de travail, dès lors que la recourante est en mesure de se livrer à des activités accessoires et ne présente pas de retrait social, ce qui n'était pas le cas au moment de l'expertise par le Dr C__________. Il est également à relever que la recourante refuse tout suivi psychiatrique, en dehors d'une légère médication antidépressive, comme cela est également confirmé par le médecin traitant. De l'avis du Tribunal de céans, il sied ainsi de retenir qu'au moment de l'examen par le SMR, en septembre 2005, la recourante ne présentait plus une incapacité de travail pour des raisons psychiques. 10. Les médecins traitants ont également retenu une fibromyalgie, tous les points fibromyalgiques étant positifs. La recourante n'a jamais fait l'objet d'un examen par le SMR ou par un expert rhumatologique pour cette maladie, raison pour laquelle elle réclame une expertise judiciaire. Cependant, il appert que la recourante ne remplit pas les critères développés par le Tribunal fédéral pour attribuer à cette affection une valeur invalidante. En effet, comme relevé ci-dessus, la recourante ne souffre pas d'une comorbidité psychiatrique grave. Quant aux autres critères, il doit certes être admis qu'elle présente un processus maladif s’étendant sur plusieurs années sans rémission durable et d'affections corporelles chroniques, étant atteinte d'une infection VIH. Toutefois, une perte d’intégration sociale dans toutes les manifestations de la vie ne peut pas être retenue, la recourante se livrant à beaucoup d'activités et ayant une vie sociale riche. Quant au critère de l’échec de traitements ambulatoires ou stationnaires conformes aux règles de l’art (même avec différents types de traitement), il est rempli pour la fibromyalgie, pour autant que ce diagnostic doive être retenu, mais non pas pour l'infection VIH qui est stationnaire depuis plusieurs années, même si l'on ne peut en guérir. Le trouble dépressif s'étant amendé, le critère d'un état psychique cristallisé, sans évolution possible au plan thérapeutique, n'est enfin pas réalisé.</w:t>
      </w:r>
    </w:p>
    <w:p>
      <w:r>
        <w:t>A/4286/2009 - 15/18 - Dans ces conditions, le Tribunal de céans ne voit pas l'utilité d'une expertise rhumatologique judiciaire. Car même si le rhumatologue devait conclure, sur le plan médical, à une incapacité de travail en raison de la fibromyalgie, aucun caractère invalidant ne pourrait être attribué à cette maladie d'un point de vue juridique. 11. Il n'est pas exclu que la recourante ne puisse plus exercer son ancienne profession de vendeuse à cause des limitations dues à la fibromyalgie, de sorte qu'elle subit une perte de gain en raison du changement d'activité. D'ores et déjà, il appert cependant que la perte de gain serait inférieure à 40%, en comparant le salaire maximal réalisé par la recourante en 2000, de 49'894 fr., à celui ressortant des statistiques pour la même année. Il est à cet égard à relever que l'année déterminante pour la comparaison des salaires est en principe 2002, soit l'année qui a suivi celle du début de l'incapacité de travail, laquelle s'est déclarée en novembre 2001. Toutefois, l'évolution des salaires ne s'est pas considérablement modifiée d'une année à l'autre, de sorte que, pour des raisons de simplicité, il sera fait référence ici à l'année 2000. Pour le revenu d'invalide, le salaire de référence est en l'espèce celui auquel peuvent prétendre les femmes effectuant des activités simples et répétitives (niveau de qualification 4) dans le secteur privé, à savoir 43'896 fr. par année (Enquête suisse sur la structure des salaires 2000, TA1, p. 31).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2000 (41,8 heures en 2000; La Vie économique, 10-2004, p. 90, B9.2), ce montant doit être porté à 45'871 fr. 30. En admettant un abattement de ce salaire statistique à hauteur de 10%, pour tenir compte des handicaps de la recourante, le revenu sans invalidité s'élève à 41'302 fr. 20. La perte de gain s'établit ainsi à environ 17%, ce qui n'ouvre le droit à aucune rente. Le Tribunal ne juge par conséquent pas nécessaire, dans le cadre de cette procédure, de faire une instruction complémentaire pour déterminer si la fibromyalgie provoque des limitations empêchant la recourante d'exercer son ancienne profession. 12. Il résulte de ce qui précède qu'une incapacité de travail totale doit être admise de novembre 2001 à septembre 2005 et que la recourante peut donc bénéficier d'une rente entière que pendant une durée limitée. Reste à déterminer le début et la fin du droit à la rente.</w:t>
      </w:r>
    </w:p>
    <w:p>
      <w:r>
        <w:t>A/4286/2009 - 16/18 - a)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Aux termes de l'art. 48 al. 2 LAI, en vigueur jusqu'au 31 décembre 2007 et applicable en l'espèce, si l'assuré présente sa demande plus de 12 mois après la naissance du droit, les prestations ne seront allouées que pour les 12 mois précédant le dépôt de la demande. Elles sont allouées pour une période antérieure si l'assuré ne pouvait pas connaître les faits donnant droit à prestations et qu'il présente sa demande dans les 12 mois dès le moment où il en a eu connaissance. En l'espèce, il appert que la demande de la recourante est tardive. En effet, elle n'a déposé sa demande qu'en janvier 2004, alors que le droit à une rente est né en novembre 2002. Sa conscience n'étant pas altérée, il ne pouvait par ailleurs lui échapper qu'elle présentait une maladie et une incapacité de travail lui ouvrant éventuellement le droit à une rente. Partant, elle ne peut prétendre à une rente qu'à partir de janvier 2003. b) En cas d'allocation d'une rente dégressive ou temporaire, la date de la modification du droit (diminution ou suppression de la rente) doit être fixée conformément à l'art. 88a al. 1 du règlement sur l'assurance-invalidité du 17 janvier 1961 (RAI, RS 831.201; cf.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une amélioration de l'état de santé a été constatée en septembre 2005. Celle-ci doit être prise en considération trois mois après, de sorte que le droit à la rente s'éteint en janvier 2006. 13. Au cas où la recourante subit des limitations fonctionnelles en raison de sa fibromyalgie, de sorte qu'elle doit changer d'activité professionnelle, elle peut éventuellement prétendre à des mesures d'ordre professionnel. Toutefois, celles-ci ne font pas l'objet du présent litige. Il appartiendra par conséquent le cas échéant à la recourante de former une demande dans ce sens auprès de l'intimé. 14. Au vu de ce qui précède, le recours sera partiellement admis, la décision dont est recours annulée et la recourante mise au bénéfice d'une rente entière de janvier 2003 à décembre 2005 inclus.</w:t>
      </w:r>
    </w:p>
    <w:p>
      <w:r>
        <w:t>A/4286/2009 - 17/18 - 15. La recourante obtenant partiellement gain de cause, une indemnité de 800 fr. lui est octroyée à titre de dépens. 16. La recourante succombant néanmoins en large partie, l'émolument de justice devrait être mis à sa charge. Toutefois, dès lors qu'elle ne vit que grâce à l'aide sociale, le Tribunal renonce à le percevoir.</w:t>
      </w:r>
    </w:p>
    <w:p>
      <w:r>
        <w:t>A/4286/2009 - 18/18 -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