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ATAS/338/2025 vom 12. Mai 2025</w:t>
      </w:r>
    </w:p>
    <w:p>
      <w:r>
        <w:t>GE Cour de justice, 2025-05-12, FR</w:t>
      </w:r>
    </w:p>
    <w:p>
      <w:r>
        <w:rPr>
          <w:b/>
        </w:rPr>
        <w:t xml:space="preserve">Quelle: </w:t>
      </w:r>
      <w:r>
        <w:t>https://mcp.opencaselaw.ch/entscheid/ge_gerichte_ATAS_338_2025</w:t>
      </w:r>
    </w:p>
    <w:p>
      <w:r>
        <w:t>FR: GE_GERICHTE ATAS/338/2025 du 12 mai 2025</w:t>
      </w:r>
    </w:p>
    <w:p>
      <w:r>
        <w:t>IT: GE_GERICHTE ATAS/338/2025 del 12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(ci-après : AI), à moins que la loi n’y déroge expressément La procédure devant la chambre de céans est ainsi régie par les dispositions de la LPGA et de la loi sur la procédure administrative, du 12 septembre 1985 (LPA – E 5 10).</w:t>
      </w:r>
    </w:p>
    <w:p>
      <w:r>
        <w:rPr>
          <w:b/>
        </w:rPr>
        <w:t>E. 1.3</w:t>
      </w:r>
    </w:p>
    <w:p>
      <w:r>
        <w:t>L’assuré étant encore mineur, il appartient à son représentant légal d’interjeter recours ou de confier cette démarche à un avocat ou à un autre mandataire professionnellement qualifié (cf. art. 8 al. 2 et 9 al. 1 LPA). En l’occurrence, le père du recourant, lui-même avocat, a interjeté recours dans la forme et le délai prévus par la loi, compte tenu de la suspension des délais pendant la période du 18 décembre au 2 janvier inclusivement (art. 38 al. 4 let. c LPGA et art. 89C LPA), de sorte que le recours est recevable (art. 60 al. 1 LPGA).</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et de l’ordonnance concernant les infirmités congénitales du 3 novembre 2021 (OIC-DFI – RS 831.232.211) sont entrées en vigueur.</w:t>
      </w:r>
    </w:p>
    <w:p>
      <w:r>
        <w:rPr>
          <w:b/>
        </w:rPr>
        <w:t>E. 2.2</w:t>
      </w:r>
    </w:p>
    <w:p>
      <w:r>
        <w:t>En l’absence de disposition transitoire spéciale, ce sont les principes généraux de droit intertemporel qui prévalent, à savoir l’application du droit en vigueur lorsque les faits déterminants se sont produits (cf. ATF 144 V 210 consid. 4.3.1). Lors de l’examen d’une demande d’octroi de prestation est déterminant le moment de la naissance du droit éventuel à cette prestation (arrêt du Tribunal fédéral 9C_60/2023 du 20 juillet 2023 consid. 2.2). La jurisprudence selon laquelle la survenance de l’invalidité a lieu au moment où le trouble nécessite objectivement un traitement ou un contrôle est également valable en matière</w:t>
      </w:r>
    </w:p>
    <w:p>
      <w:r>
        <w:t>A/4286/2024 - 10/23 - d’infirmités congénitales (ATF 111 V 117 consid. 1d ; Ulrich MEYER / Marco REICHMUTH, Rechtsprechung des Bundesgerichts über die Invalidenversicherung [IVG], 4e éd., 2022, p. 151, n. 10 ad art. 13 LAI). En l’occurrence, bien que l’infirmité congénitale du recourant et la prise en charge des mesures médicales y relatives aient été admises par l’intimé par communication du 12 novembre 2013, il appert que le recourant a, par courrier du 11 août 2023, demandé à l’intimé de prendre en charge la consultation du 13 juillet précédent auprès du Dr C______ ainsi que le bilan neuropsychologique et les éventuels traitements envisagés par ce dernier. Dans la mesure où cette demande de prise en charge est postérieure à l’entrée en vigueur, le 1er janvier 2022, des dispositions légales et réglementaires précitées, l’éventuel droit du recourant aux prestations d’assurance doit être examiné à la lumière de ces dispositions dans la teneur qui était la leur à compter du 1er janvier 2022.</w:t>
      </w:r>
    </w:p>
    <w:p>
      <w:r>
        <w:rPr>
          <w:b/>
        </w:rPr>
        <w:t>E. 3</w:t>
      </w:r>
    </w:p>
    <w:p>
      <w:r>
        <w:t>Le litige porte sur le point de savoir si l’intimé était fondé, par sa décision du 21 novembre 2024, à refuser la prise en charge d’un bilan neuropsychologique effectué par le recourant et, plus généralement, à supprimer la garantie de paiement pour les mesures médicales liées à son infirmité congénitale.</w:t>
      </w:r>
    </w:p>
    <w:p>
      <w:r>
        <w:rPr>
          <w:b/>
        </w:rPr>
        <w:t>E. 4.1</w:t>
      </w:r>
    </w:p>
    <w:p>
      <w:r>
        <w:t>Aux termes de l’art. 13 al. 1 LAI, les assurés ont droit, jusqu’à ce qu’ils atteignent l’âge de 20 ans, à des mesures médicales pour le traitement des infirmités congénitales (art. 3 al. 2 LPGA). Selon l’art. 3 al. 2 LPGA, est réputée infirmité congénitale toute maladie présente à la naissance accomplie de l’enfant. L’art 13 al. 2 LAI précise que les mesures médicales sont accordées pour le traitement des malformations congénitales qui font l’objet d’un diagnostic posé par un médecin spécialiste (let. a), qui engendrent une atteinte à la santé (let. b), qui présentent un certain degré de gravité (let. c), qui nécessitent un traitement de longue durée ou complexe (let. d) et enfin, qui peuvent être traitées par des mesures médicales au sens de l’art. 14 LAI.</w:t>
      </w:r>
    </w:p>
    <w:p>
      <w:r>
        <w:rPr>
          <w:b/>
        </w:rPr>
        <w:t>E. 4.2</w:t>
      </w:r>
    </w:p>
    <w:p>
      <w:r>
        <w:t>En vertu de l’art. 14ter al. 1 let. b LAI, c’est le Conseil fédéral qui détermine les infirmités congénitales donnant droit à des mesures médicales en vertu de l’art. 13 LAI, étant précisé qu’il peut déléguer cette compétence au DFI ou à l’OFAS. Par renvoi de l’art. 3bis al. 1 RAI, le Conseil fédéral a délégué au DFI le soin de dresser la liste des infirmités congénitales donnant droit à des mesures médicales, ce que ce dernier a fait en édictant l’OIC-DFI.</w:t>
      </w:r>
    </w:p>
    <w:p>
      <w:r>
        <w:rPr>
          <w:b/>
        </w:rPr>
        <w:t>E. 4.3</w:t>
      </w:r>
    </w:p>
    <w:p>
      <w:r>
        <w:t>L’art. 1 OIC-DFI dispose que les infirmités congénitales pour le traitement desquelles des mesures médicales sont accordées en vertu de l’art. 13 LAI sont</w:t>
      </w:r>
    </w:p>
    <w:p>
      <w:r>
        <w:t>A/4286/2024 - 11/23 - énumérées dans l’annexe, laquelle mentionne en détail quels sont les troubles de la santé qui sont reconnus comme étant des infirmités congénitales. L’appréciation du Tribunal fédéral selon laquelle l’OIC-DFI « énumère de manière exhaustive les différentes infirmités congénitales donnant droit à des prestations » (ATF 122 V 113 consid. 3a/cc ; arrêt du Tribunal fédéral 8C_203/2018 du 9 octobre 2018 consid. 5.1) est toujours d’actualité dans la nouvelle mouture de l’OIC-DFI (Message du Conseil fédéral concernant la modification de la loi fédérale sur l’assurance-invalidité [Développement continu de l’AI] du 15 février 2017, FF 2017 2363, 2387-2388).</w:t>
      </w:r>
    </w:p>
    <w:p>
      <w:r>
        <w:rPr>
          <w:b/>
        </w:rPr>
        <w:t>E. 4.4</w:t>
      </w:r>
    </w:p>
    <w:p>
      <w:r>
        <w:t>Conformément au ch. 387 de la liste des infirmités congénitales de l’OIC (ci-après : ch. 387 OIC), les épilepsies (primaires) congénitales (à l’exclusion des formes ne nécessitant pas une thérapie anticonvulsive ou seulement lors d’une crise) font partie des infirmités congénitales pour le traitement desquelles des mesures médicales sont accordées en vertu de l’art. 13 LAI.</w:t>
      </w:r>
    </w:p>
    <w:p>
      <w:r>
        <w:rPr>
          <w:b/>
        </w:rPr>
        <w:t>E. 4.5</w:t>
      </w:r>
    </w:p>
    <w:p>
      <w:r>
        <w:t>Selon la pratique, le droit à des mesures médicales s’étend exceptionnellement aussi au traitement d’atteintes à la santé secondaires qui ne font certes plus partie du cercle des symptômes de l’infirmité congénitale, mais qui, selon l’expérience médicale, sont souvent la conséquence de cette infirmité. Il doit donc exister un lien de causalité adéquate qualifié entre l’infirmité congénitale et l’affection secondaire. Ce n’est que si, dans un cas particulier, ce lien de causalité qualifié entre l’atteinte à la santé secondaire et l’infirmité congénitale existe et que le traitement s’avère en outre nécessaire que l’assurance-invalidité doit prendre en charge les mesures médicales dans le cadre de l’art. 13 LAI (ATF 129 V 207 consid. 3.3 ; 100 V 41 ; arrêt du Tribunal fédéral 9C_842/2016 du 27 avril 2017 consid. 6.1 et les références). Des exigences strictes doivent être posées quant à la réalisation des conditions du lien de causalité juridiquement pertinent (arrêt du Tribunal fédéral 8C_203/2018 du 9 octobre 2018 consid. 5.2 et la référence au chiffre 11 de la circulaire sur les mesures médicales de réadaptation de l’AI [CMRM]). Il n’est pas nécessaire, cependant, que l’affection secondaire soit directement liée à l’infirmité ; des conséquences même indirectes de l’infirmité congénitale peuvent également satisfaire à l’exigence d’un lien qualifié de causalité adéquate (arrêt du Tribunal fédéral I 576/05 du 25 novembre 2005 consid. 3.1 et les références). Le chiffre 11 CMRM précise en outre :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w:t>
      </w:r>
    </w:p>
    <w:p>
      <w:r>
        <w:t>A/4286/2024 - 12/23 - causalité qualifié entre une infirmité congénitale et une atteinte à la santé secondaire ». À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(arrêt du Tribunal fédéral 355/01 du 12 octobre 2001 consid. 1 ; ATF 123 V 103 consid. 3d et 139 consid. 3c ; 111 V 188 consid. 2b).</w:t>
      </w:r>
    </w:p>
    <w:p>
      <w:r>
        <w:rPr>
          <w:b/>
        </w:rPr>
        <w:t>E. 4.6</w:t>
      </w:r>
    </w:p>
    <w:p>
      <w:r>
        <w:t>Conformément à ces principes, la jurisprudence fédérale a, par exemple, conclu à l’existence d’un lien qualifié de causalité adéquate entre l’impossibilité pathologique de déglutir chez un enfant gravement infirme et une pneumonie dite d’aspiration (arrêt du Tribunal fédéral 1962 p. 215 ss), entre l’hydrocéphalie et un certain strabisme (ATF 97 V 54), entre l’affection congénitale – il s’agissait soit d’une psychose primaire soit d’une oligophrénie grave – et l’hypotonie musculaire dont souffrait l’assuré (arrêt du Tribunal fédéral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Notre Haute Cour a également admis le rapport de causalité adéquate qualifié entre des troubles dépressifs et du comportement et un TDAH (ch. 404 OIC), même si les troubles dépressifs étaient apparus à la suite de facteurs psychosociaux (diagnostic de leucémie posé chez la sœur et problèmes conjugaux des parents), dès lors que le TDAH avait empêché l’assurée de trouver en elle-même les ressources nécessaires pour faire face à ces circonstances adverses (arrêt du Tribunal fédéral 9C_917/2011 du 28 mars 2012 consid. 5.4). Enfin, le Tribunal fédéral des assurances a admis un lien qualifié de causalité adéquate dans le cas d’une assurée souffrant d’une leucopénie congénitale (ch. 322 OIC) et d’une gingivite, au motif que les infections des muqueuses constituaient des conséquences directes de la leucopénie et pouvaient indirectement entraîner des inflammations des gencives, lesquelles pouvaient à leur tour provoquer une parodontose ; en raison de cet enchaînement causal, le risque d’autres conséquences de l’affection de base était à ce point immanent à celle-ci que le lien de causalité naturelle était particulièrement étroit et son adéquation évidente (Pra 1991 n° 214 p. 906 consid. 4a). En revanche, la Haute Cour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entre la myopathie congénitale avec troubles moteurs cérébraux et une lésion aux</w:t>
      </w:r>
    </w:p>
    <w:p>
      <w:r>
        <w:t>A/4286/2024 - 13/23 - dents subie après une chute (arrêt du Tribunal fédéral I 218/97 du 22 janvier 1998), entre une épilepsie congénitale et des lésions aux dents consécutives à une chute (VSI 1998 p. 255 consid. 2b) et, enfin, entre un reflux vésico-urétéral congénital (ch. 346 OIC), des paralysies cérébrales congénitales (ch. 390 OIC) et un traitement de racine d’une dent carieuse (arrêt du Tribunal fédéral I 801/04 du</w:t>
      </w:r>
    </w:p>
    <w:p>
      <w:r>
        <w:rPr>
          <w:b/>
        </w:rPr>
        <w:t>E. 4.7</w:t>
      </w:r>
    </w:p>
    <w:p>
      <w:r>
        <w:t>La CRMR, dans sa teneur en vigueur au 1er janvier 2023, précise que les épilepsies susceptibles d’être considérées comme des infirmités congénitales sont, d’une part, les épilepsies au sens étroit du terme, caractérisées par des crises répétitives ou par de rares crises grâce au succès de la prophylaxie anti-crise (l’EEG pouvant dans l’intervalle être normal) et, d’autre part, les épilepsies sans crise, mais se manifestant par des symptômes psychopathologiques. Ces symptômes peuvent être mis en rapport avec des manifestations épileptiques indiscutables sur l’EEG (pointes-ondes et complexes nombreux et évidents), non seulement lors des incidents psychopathologiques (durant la crise), mais encore dans l’intervalle (épilepsie larvée ou masquée). La question de savoir si une corrélation entre les altérations de l’EEG et les manifestations psychopathologiques est prouvée ou probable doit être soumise à l’appréciation d’un spécialiste (ch. 387.4 et 387.5 CMRM). Entrent en ligne de compte comme symptômes psychopathologiques (équivalents) : les troubles de la parole et du langage, la difficulté d’écrire et d’apprendre et les troubles du comportement. Comme de telles particularités psychiques peuvent avoir des significations très variées et d’autres origines, la confirmation par des altérations épileptiques manifestes sur l’EEG pendant la phase d’accès et dans l’intervalle est indispensable (plusieurs complexes manifestes de pointes-ondes se détachant clairement de l’activité de base). L’épilepsie ne peut être admise que si, sur la base des données probantes émanant de la pédopsychiatrie, d’autres origines peuvent être exclues (ch. 387.6 CMRM). Lorsque, sans médication antiépileptique depuis deux ans, on constate une absence de crise comitiale ou la disparition des troubles psychopathologiques au sens des ch. 387.3 et 387.4, et que le tracé EEG ne présente plus de signes</w:t>
      </w:r>
    </w:p>
    <w:p>
      <w:r>
        <w:t>A/4286/2024 - 14/23 - potentiels d’une épilepsie, l’AI ne prend plus en charge d’autres mesures médicales ni les contrôles EEG, sauf si l’on suppose qu’il y aura récidive (ch. 387.11 CMRM). L’examen neuropsychologique ne fait pas partie des examens standard prévus pour les cas d’épilepsie. Il doit être prescrit par un neuropédiatre, un pédiatre ou un épileptologue et la question qu’il doit éclaircir doit être clairement délimitée. L’AI ne peut en règle générale pas prendre en charge les examens neuropsychologiques destinés à permettre l’établissement de la thérapie médicamenteuse (ch. 387.17 CMRM).</w:t>
      </w:r>
    </w:p>
    <w:p>
      <w:r>
        <w:rPr>
          <w:b/>
        </w:rPr>
        <w:t>E. 4.8</w:t>
      </w:r>
    </w:p>
    <w:p>
      <w:r>
        <w:t>En lien avec les indications figurant dans la CMRM, on rappellera que les instructions de l'administration, en particulier celles de l'autorité de surveillance, sont destinées à assurer l'application uniforme des prescriptions légales et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(cf. notamment arrêt du Tribunal fédéral 9C_818/2009 du 20 novembre 2009 consid. 3.2.2 et les références citées). 5.</w:t>
      </w:r>
    </w:p>
    <w:p>
      <w:r>
        <w:t>5.1 Lorsque des mesures médicales ne peuvent être octroyées à un assuré mineur sous l'angle de l'art. 13 LAI, il y a lieu d'examiner si elles peuvent l'être sur la base de l'art. 12 LAI (cf. arrêt du Tribunal fédéral I 309/05 du 1er décembre 2005 consid. 2.3.1). 5.2 Conformément à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w:t>
      </w:r>
    </w:p>
    <w:p>
      <w:r>
        <w:t>A/4286/2024 - 15/23 -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5.3 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w:t>
      </w:r>
    </w:p>
    <w:p>
      <w:r>
        <w:rPr>
          <w:b/>
        </w:rPr>
        <w:t>E. 6</w:t>
      </w:r>
    </w:p>
    <w:p>
      <w:r>
        <w:t>juillet 2005). Dans ce dernier arrêt, le Tribunal fédéral a précisé que la reconnaissance d’un lien de causalité adéquate qualifié ne dépend pas uniquement de la fréquence de l’affection secondaire. En effet, il serait difficile de comprendre pourquoi une personne assurée souffrant d’une infirmité congénitale et présentant une affection secondaire rare n’aurait pas droit au traitement de celle-ci, alors que la solution inverse s’appliquerait aux personnes assurées présentant une atteinte secondaire fréquente à la santé. Aussi faut-il prendre en compte un élément qualitatif : il ne suffit pas qu’une carie soit favorisée de façon certaine par la situation de soins très difficile et l’hypersensibilité accrue de l’assurée dans la zone buccale. Encore faut-il que la carie soit une conséquence inévitable de l’infirmité congénitale elle-même (arrêt du Tribunal fédéral I 801/04 précité consid. 2.3).</w:t>
      </w:r>
    </w:p>
    <w:p>
      <w:r>
        <w:rPr>
          <w:b/>
        </w:rPr>
        <w:t>E. 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w:t>
      </w:r>
    </w:p>
    <w:p>
      <w:r>
        <w:t>A/4286/2024 - 16/23 -</w:t>
      </w:r>
    </w:p>
    <w:p>
      <w:r>
        <w:rPr>
          <w:b/>
        </w:rPr>
        <w:t>E. 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w:t>
      </w:r>
    </w:p>
    <w:p>
      <w:r>
        <w:t>A/4286/2024 - 17/23 -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8.1</w:t>
      </w:r>
    </w:p>
    <w:p>
      <w:r>
        <w:t>En l’occurrence, le recourant soutient que ses atteintes à la santé actuelles, à savoir notamment des troubles légers d’acquisition du langage écrit avec dysorthographie et une fragilité attentionnelle, sont en lien de causalité avec l’épilepsie dont il a souffert au début de sa vie. Il indique également que l’épilepsie survenue dans sa très petite enfance est à l’origine de ses difficultés scolaires, en précisant que son grand frère, qui a évolué dans le même cadre familial et fréquenté les mêmes écoles, n’a pas rencontré d’obstacles similaires durant son parcours. En outre, le recourant estime que les avis médicaux du SMR ne revêtent aucune force probante et souligne que l’intimé n’a pas à refuser de couvrir des frais médicaux dont elle avait accepté la prise en charge par décision du 12 novembre 2013, ce jusqu’au 30 avril 2033. Se fiant aux appréciations de la médecin du SMR, l’intimé est d’avis que les atteintes actuelles du recourant ne sont pas en corrélation étroite et adéquate avec le traitement de son infirmité congénitale, raison pour laquelle il était fondé à</w:t>
      </w:r>
    </w:p>
    <w:p>
      <w:r>
        <w:t>A/4286/2024 - 18/23 - supprimer la prise en charge de son infirmité congénitale et à rejeter la demande de prise en charge du bilan neuropsychologique.</w:t>
      </w:r>
    </w:p>
    <w:p>
      <w:r>
        <w:rPr>
          <w:b/>
        </w:rPr>
        <w:t>E. 8.2</w:t>
      </w:r>
    </w:p>
    <w:p>
      <w:r>
        <w:t>En l’espèce, par communication du 12 novembre 2013, l’intimé a reconnu que le recourant présentait une infirmité congénitale (ch. 387 OIC) correspondant à des épilepsies (primaires) congénitales et a indiqué qu’il prenait en charge les mesures médicales y relatives jusqu’au 30 avril 2033, tout comme la physiothérapie et l’ergothérapie dans la mesure où elles étaient nécessaires. Par ailleurs, il ressort du dossier que le Dr C______, après avoir revu le recourant en consultation en date du 13 juillet 2023, a retenu dans ses rapports des 7 août 2023 et 11 février 2024 que celui-ci présentait de légers troubles d’acquisition du langage écrit avec dysorthographie, un status post-syndrome de West, ainsi qu’une fragilité attentionnelle. Le Dr F______ a quant à lui indiqué que le recourant souffrait d’énurésies nocturnes (F98.0), de troubles du sommeil (F51.0), de troubles de l’acquisition du langage écrit (F81.1), de perturbations de l’activité et de l’attention (F90.0), ainsi que d’autres troubles mixtes des conduites et des émotions (F92.8). Il retenait également un status post-syndrome de West idiopathique. Il appert que les atteintes précitées ne sont pas constitutives d’une infirmité congénitale figurant dans la liste de l’OIC, ce qui n’est du reste pas contesté par les parties. À cet égard, le SMR a examiné, dans son avis médical du 20 novembre 2024, s’il se justifiait de retenir une infirmité congénitale correspondant à des troubles congénitaux du comportement chez les enfants non atteints d’un retard mental (ch. 404 OIC). Il a cependant considéré, à raison, que les critères pour la reconnaissance de cette pathologie n’étaient pas tous remplis, dès lors qu’il ne ressortait pas du dossier que le recourant présentait des troubles de la mémorisation ou de la perception (cf. ch. 404 ch. 3 et 5 OIC). Il convient ainsi d’examiner, au regard des différents rapports médicaux figurant au dossier, si les atteintes actuelles du recourant peuvent être considérées comme des affections secondaires, en lien de causalité adéquate qualifié avec l’infirmité congénitale originelle du recourant.</w:t>
      </w:r>
    </w:p>
    <w:p>
      <w:r>
        <w:rPr>
          <w:b/>
        </w:rPr>
        <w:t>E. 8.3</w:t>
      </w:r>
    </w:p>
    <w:p>
      <w:r>
        <w:t>L’intimé s’est fondé sur les avis médicaux des 1er septembre 2023 et 20 novembre 2024 du SMR pour retenir que l’épilepsie dont le recourant a souffert durant ses premiers mois de vie n’était pas, sous l’angle de la vraisemblance prépondérante, à l’origine de ses atteintes actuelles, de sorte qu’il sied d’examiner la valeur probante de ces rapports du SMR. Il convient tout d’abord de relever que dans ses deux appréciations médicales, la médecin SMR relate précisément l’évolution de l’épilepsie du recourant durant ses premiers mois de vie et fonde son analyse sur l’ensemble des rapports médicaux pertinents figurant au dossier.</w:t>
      </w:r>
    </w:p>
    <w:p>
      <w:r>
        <w:t>A/4286/2024 - 19/23 - En outre, son analyse est cohérente et motivée. La médecin du SMR explique, dans un premier temps, que le pronostic développemental d’un patient souffrant du syndrome de West dépend de l’étiologie de base, du délai de mise en œuvre d’un traitement et de la réponse du patient à celui-ci, avant d’indiquer, dans un second temps, que le caractère idiopathique de l’atteinte du recourant et sa réponse rapide à un traitement opportun sont des facteurs de bon pronostic développemental. Par ailleurs, la médecin du SMR reconnaît qu’il est possible que l’épilepsie présentée par le recourant dans sa petite enfance ait contribué à ses difficultés neuropsychologiques, en indiquant toutefois qu’une telle relation ne pouvait pas être considérée comme étant probable, ni vraisemblable. Elle a précisé à cet égard que les troubles présentés par le recourant étaient fréquents dans la population générale, avec des prévalences estimées jusqu’à 10% même en l’absence d’antécédents épileptiques. Selon elle, bien que les troubles du développement soient plus fréquents chez les enfants ayant souffert d’un syndrome de West, une relation de cause à effet est souvent difficile à établir entre l’épilepsie et des troubles tels que le recourant en présente, ce d’autant plus que l’étiologie de base est potentiellement la même s’agissant de ces deux problématiques, à savoir un dysfonctionnement cérébral se manifestant par une épilepsie, puis, plus tard, par des troubles neuropsychologiques, sans qu’il existe un lien de causalité entre les deux types d’affections. La médecin du SMR rappelle également, dans son analyse, que le recourant n’a plus souffert de crises d’épilepsie depuis le mois d’octobre 2013, que l’EEG est normal depuis lors et que le traitement médicamenteux a pris fin depuis plusieurs années. Compte tenu de ce qui précède, il appert que les avis médicaux du SMR sont cohérents et motivés, de sorte qu’ils doivent se voir reconnaître une pleine valeur probante.</w:t>
      </w:r>
    </w:p>
    <w:p>
      <w:r>
        <w:rPr>
          <w:b/>
        </w:rPr>
        <w:t>E. 8.4</w:t>
      </w:r>
    </w:p>
    <w:p>
      <w:r>
        <w:t>Il convient désormais de déterminer si les critiques du recourant et les rapports médicaux de ses médecins sont de nature à susciter des doutes quant à la fiabilité et la pertinence des constatations de la médecin du SMR.</w:t>
      </w:r>
    </w:p>
    <w:p>
      <w:r>
        <w:rPr>
          <w:b/>
        </w:rPr>
        <w:t>E. 8.4.1</w:t>
      </w:r>
    </w:p>
    <w:p>
      <w:r>
        <w:t>S’agissant tout d’abord des différents rapports médicaux établis par le Dr C______, neuropédiatre du recourant, force est de constater que ceux-ci concordent avec l’avis de la médecin du SMR. Dans son rapport du 16 octobre 2013, le Dr C______ observait ainsi que le diagnostic de West présenté par le recourant lors de ses premiers mois de vie avait rapidement évolué favorablement, avec une disparition des crises et une normalisation du tracé EEG. Bien qu’une surveillance du développement fût nécessaire, il estimait que le pronostic était bon. En outre, dans son courrier du 23 octobre 2023 à l’intimé, le Dr C______ explique, tout comme la médecin du SMR, que le syndrome de West peut</w:t>
      </w:r>
    </w:p>
    <w:p>
      <w:r>
        <w:t>A/4286/2024 - 20/23 - s’accompagner de séquelles cognitives à long terme, en ajoutant, sans autre précision, que le bilan neuropsychologie dont il propose la mise en œuvre lui semble tout à fait relevant et en lien avec la pathologie initiale. Il n’indique toutefois pas que les atteintes actuelles du recourant se trouvent, sous l’angle de la vraisemblance prépondérante, en lien de causalité avec son infirmité congénitale. Dans son courrier du 15 avril 2025, le Dr C______, se fondant sur l’étude publiée dans Epilepsy Research en 2015, a indiqué que la majorité des patients ayant souffert d’un syndrome de West présentent des séquelles neurodéveloppementales variées, y compris parmi les personnes présentant de bons « facteurs pronostics ». Selon lui, il existait une vulnérabilité chez le recourant s’agissant de l’apparition de troubles neurodéveloppementaux. Il lui était toutefois impossible d’estimer, avec plus de 50% de probabilité, que les difficultés du recourant étaient consécutives au syndrome de West.</w:t>
      </w:r>
    </w:p>
    <w:p>
      <w:r>
        <w:rPr>
          <w:b/>
        </w:rPr>
        <w:t>E. 8.4.2</w:t>
      </w:r>
    </w:p>
    <w:p>
      <w:r>
        <w:t>Le Dr F______, pédopsychiatre du recourant, indique quant à lui, dans son certificat médical du 14 mai 2024, que le recourant bénéficie d’un suivi pédopsychiatrique depuis deux ans et demi et qu’il persiste à éprouver des difficultés dans les apprentissages. Dans son rapport médical du 24 août 2024, le Dr F______ retient notamment les diagnostics de status post-syndrome de West idiopathique et de trouble du langage écrit, en précisant que le syndrome de West présenté par le recourant avait été entièrement résolu. Ce médecin ne s’exprime pas non plus sur un éventuel lien de causalité entre le syndrome de West du recourant et ses atteintes actuelles et préconise d’ailleurs, dans son rapport du 24 août 2024, la prise en charge de la psychothérapie du recourant sur la base de l’art.</w:t>
      </w:r>
    </w:p>
    <w:p>
      <w:r>
        <w:rPr>
          <w:b/>
        </w:rPr>
        <w:t>E. 8.4.3</w:t>
      </w:r>
    </w:p>
    <w:p>
      <w:r>
        <w:t>Concernant enfin les critiques du recourant, la chambre de céans expose ce qui suit. Comme il l’a été expliqué ci-avant (cf. supra 8.3), les avis médicaux du SMR peuvent se voir reconnaître une pleine valeur probante. Contrairement à ce que soutient le recourant, il n’est nullement contradictoire, de la part de la médecin du SMR, de reconnaître qu’un lien de causalité peut théoriquement exister entre le syndrome de West du recourant et les atteintes qu’il présente, tout en précisant que dans le cas d’espèce, ce lien n’est pas probable, ni vraisemblable. Le Dr C______ a également indiqué, à ce propos, qu’il lui était impossible d’estimer avec plus de 50% de probabilité que les difficultés actuelles du recourant étaient consécutives au syndrome de West, bien que des troubles neurodéveloppementaux soient fréquemment observés chez les personnes ayant souffert d’un syndrome de West pendant l’enfance.</w:t>
      </w:r>
    </w:p>
    <w:p>
      <w:r>
        <w:t>A/4286/2024 - 21/23 - À cet égard, il convient encore de préciser que le SMR et le Dr C______ s’accordent sur le fait que l’absence de cause étiologique à l’épilepsie infantile et la bonne réaction du recourant à son traitement de l’époque étaient des signes plaidant en faveur d’un pronostic favorable. En outre, selon l’étude annexée par le Dr C______ à son courrier du 15 avril 2025, les patients ayant souffert d’épilepsie infantile sans cause étiologique présentent de meilleurs résultats neurodéveloppementaux que les autres, bien que 45% d’entre eux souffrent de séquelles de cette nature. Le Tribunal fédéral a toutefois précisé que la reconnaissance d’un lien de causalité adéquate qualifié ne dépend pas uniquement de la fréquence de l’affection secondaire, mais également d’un élément qualitatif consistant à déterminer si l’affection secondaire est, dans le cas d’espèce, la conséquence inévitable de l’infirmité congénitale (cf. arrêt du Tribunal fédéral I 801/04 précité consid. 2.3), ce qu’aucun rapport médical ne démontre s’agissant du recourant. Par ailleurs, le fait que le grand frère du recourant n’ait pas rencontré les mêmes difficultés dans le cadre scolaire alors que son parcours et son cadre familial sont identiques ne signifie pas que les troubles du recourant sont nécessairement dus au syndrome de West dont il a souffert par le passé. Enfin, il ne peut être reproché à l’intimé de supprimer la garantie de paiement pour les mesures médicales liées à l’infirmité congénitale du recourant (ch. 387 OIC) dans la mesure où ce dernier n’a plus connu de crises d’épilepsie depuis le mois d’octobre 2013, étant rappelé que l’EEG est décrit comme étant normal depuis lors (ch. 387.11 CMRM) et que les thérapeutes du recourant n’indiquent pas que ses atteintes actuelles sont, sous l’angle de la vraisemblance prépondérante, en lien de causalité naturelle avec le syndrome de West dont il a souffert durant les premiers mois de sa vie. Par conséquent, c’est à bon droit que l’intimé a rejeté la demande de prise en charge d’un bilan neuropsychologique du recourant et a supprimé la prise en charge de l’infirmité congénitale (ch. 387 OIC). La chambre de céans refusera ainsi, par appréciation anticipée des preuves, de donner une suite favorable à la demande du recourant visant à la mise en œuvre d’une expertise judiciaire dans la mesure où la fiabilité des constats et des conclusions figurant dans les avis du SMR n’est pas remise en cause par les thérapeutes du recourant.</w:t>
      </w:r>
    </w:p>
    <w:p>
      <w:r>
        <w:rPr>
          <w:b/>
        </w:rPr>
        <w:t>E. 8.5</w:t>
      </w:r>
    </w:p>
    <w:p>
      <w:r>
        <w:t>Il sied encore de relever que l’intimé a, par communication du 21 novembre 2024, pris en charge les coûts de la thérapie ambulatoire du recourant en se fondant sur l’art. 12 LAI. Les coûts relatifs à la mise en œuvre d’un bilan neuropsychologique ne peuvent toutefois pas être pris en charge par l’intimé au sens de l’art. 12 LAI dans la mesure où il ne s’agit pas d’un traitement médical nécessaire à la réadaptation du recourant (art. 12 al. 1 LAI cum art. 2 al. 1 RAI).</w:t>
      </w:r>
    </w:p>
    <w:p>
      <w:r>
        <w:t>A/4286/2024 - 22/23 - 9. Au vu de ce qui précède, le recours sera rejeté et la décision litigieuse confirmée. Compte tenu de l’issue de la procédure, un émolument de CHF 200.- sera mis à la charge du recourant (art. 69 al. 1bis LAI).</w:t>
      </w:r>
    </w:p>
    <w:p>
      <w:r>
        <w:t>A/4286/2024 - 23/23 - PAR CES MOTIFS, LA CHAMBRE DES ASSURANCES SOCIALES : Statuant À la forme :</w:t>
      </w:r>
    </w:p>
    <w:p>
      <w:r>
        <w:rPr>
          <w:b/>
        </w:rPr>
        <w:t>E. 12</w:t>
      </w:r>
    </w:p>
    <w:p>
      <w:r>
        <w:t>LAI, et non sur celle de l’art. 13 LAI. Au vu de ce qui précède, il sied de relever que les constatations des thérapeutes du recourant ne remettent pas en cause les conclusions du SMR, singulièrement s’agissant de l’existence d’un lien de causalité naturelle entre le syndrome de West survenu durant la petite enfance et les affections actuelles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