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ATAS/338/2023 vom 15. Mai 2023</w:t>
      </w:r>
    </w:p>
    <w:p>
      <w:r>
        <w:t>GE Cour de justice, 2023-05-15, FR</w:t>
      </w:r>
    </w:p>
    <w:p>
      <w:r>
        <w:rPr>
          <w:b/>
        </w:rPr>
        <w:t xml:space="preserve">Quelle: </w:t>
      </w:r>
      <w:r>
        <w:t>https://mcp.opencaselaw.ch/entscheid/ge_gerichte_ATAS_338_2023</w:t>
      </w:r>
    </w:p>
    <w:p>
      <w:r>
        <w:t>FR: GE_GERICHTE ATAS/338/2023 du 15 mai 2023</w:t>
      </w:r>
    </w:p>
    <w:p>
      <w:r>
        <w:t>IT: GE_GERICHTE ATAS/338/2023 del 15 maggio 2023</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les forme et délai prévus par la loi, le recours est recevable (art. 56 et 60 LPGA).</w:t>
      </w:r>
    </w:p>
    <w:p>
      <w:r>
        <w:rPr>
          <w:b/>
        </w:rPr>
        <w:t>E. 2</w:t>
      </w:r>
    </w:p>
    <w:p>
      <w:r>
        <w:t>Le litige porte sur le droit du recourant à une rente d’invalidité.</w:t>
      </w:r>
    </w:p>
    <w:p>
      <w:r>
        <w:rPr>
          <w:b/>
        </w:rPr>
        <w:t>E. 3</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3.2</w:t>
      </w:r>
    </w:p>
    <w:p>
      <w:r>
        <w:t>et les références; ATF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w:t>
      </w:r>
    </w:p>
    <w:p>
      <w:r>
        <w:t>A/1365/20202 - 8/10 -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w:t>
      </w:r>
    </w:p>
    <w:p>
      <w:r>
        <w:rPr>
          <w:b/>
        </w:rPr>
        <w:t>E. 4.1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w:t>
      </w:r>
    </w:p>
    <w:p>
      <w:r>
        <w:rPr>
          <w:b/>
        </w:rPr>
        <w:t>E. 4.2</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w:t>
      </w:r>
    </w:p>
    <w:p>
      <w:r>
        <w:rPr>
          <w:b/>
        </w:rPr>
        <w:t>E. 5</w:t>
      </w:r>
    </w:p>
    <w:p>
      <w:r>
        <w:t>En l’occurrence, l’intimé a conclu, au vu de l’avis du SMR du 21 février 2023, à ce que le dossier lui soit renvoyé pour instruction complémentaire et nouvelle décision. Le recourant ne s’est pas déterminé sur cette dernière conclusion. Conformément à l’avis du SMR, l’expertise psychiatrique de la Dre N______ n’est pas claire, contient des incohérences et des contradictions, de sorte qu’elle ne peut se voir reconnaitre une valeur probante. On peine notamment à comprendre comment la décompensation du trouble de la personnalité évitante est totalement incapacitante dans l’ancienne activité, que l’experte ne précise d’ailleurs pas - et qui n’est pas si claire au vu des multiples activités assumées par le recourant avant la survenance de son incapacité de travail totale - et ne le serait pas du tout dans une activité dans laquelle le recourant travaillerait en groupe, se sentirait en sécurité et en solidarité, avec une hiérarchie rassurante et contenante et comportant une interaction avec la clientèle et des tâches intéressantes. Ce d’autant que l’experte décrit un tableau psychique grave du recourant, nécessitant une prise en charge importante par le biais d’une hospitalisation de jour et d’un suivi psychiatrique par un infirmier à domicile, condition nécessaire, selon elle, au rétablissement d’une capacité de travail dans un délai de six mois. Au vu de ce qui précède, une instruction médicale psychiatrique est nécessaire, comme le relève l’intimé.</w:t>
      </w:r>
    </w:p>
    <w:p>
      <w:r>
        <w:t>A/1365/20202 - 9/10 -</w:t>
      </w:r>
    </w:p>
    <w:p>
      <w:r>
        <w:rPr>
          <w:b/>
        </w:rPr>
        <w:t>E. 6</w:t>
      </w:r>
    </w:p>
    <w:p>
      <w:r>
        <w:t>Partant, le recours sera partiellement admis, la décision litigieuse annulée et la cause sera renvoyée à l’intimé pour instruction médicale psychiatrique et nouvelle décision. Au vu du sort du recours, le recourant, représenté par un avocat, a droit à une indemnité qui sera fixée à CHF 1'500.- à titre de participation à ses frais et dépens (art. 61 let. g LPGA ; art. 6 du règlement sur les frais, émolument et indemnités en matière administrative du 30 juillet 1986 [RFPA – E 5 10.03]), à charge de l’intimé. Pour le surplus, il y a lieu de condamner l'intimé au paiement d'un émolument de CHF 200.- (art. 69 al. 1bis LAI).</w:t>
      </w:r>
    </w:p>
    <w:p>
      <w:r>
        <w:t>A/1365/20202 - 10/10 -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