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ATAS/338/2009 vom 20. März 2009</w:t>
      </w:r>
    </w:p>
    <w:p>
      <w:r>
        <w:t>GE Cour de justice, 2009-03-20, FR</w:t>
      </w:r>
    </w:p>
    <w:p>
      <w:r>
        <w:rPr>
          <w:b/>
        </w:rPr>
        <w:t xml:space="preserve">Quelle: </w:t>
      </w:r>
      <w:r>
        <w:t>https://mcp.opencaselaw.ch/entscheid/ge_gerichte_ATAS_338_2009</w:t>
      </w:r>
    </w:p>
    <w:p>
      <w:r>
        <w:t>FR: GE_GERICHTE ATAS/338/2009 du 20 mars 2009</w:t>
      </w:r>
    </w:p>
    <w:p>
      <w:r>
        <w:t>IT: GE_GERICHTE ATAS/338/2009 del 20 marzo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Tribunal de céans constate que le recours, interjeté en temps utile (art. 60 al. 1 LPGA) est recevable en la forme.</w:t>
      </w:r>
    </w:p>
    <w:p>
      <w:r>
        <w:rPr>
          <w:b/>
        </w:rPr>
        <w:t>E. 3</w:t>
      </w:r>
    </w:p>
    <w:p>
      <w:r>
        <w:t>La recourante conteste l’imputation à hauteur de 50 fr. par mois opérée par la caisse sur la rente d’invalidité qui lui est versée pour éteindre sa créance de cotisations envers elle.</w:t>
      </w:r>
    </w:p>
    <w:p>
      <w:r>
        <w:rPr>
          <w:b/>
        </w:rPr>
        <w:t>E. 4</w:t>
      </w:r>
    </w:p>
    <w:p>
      <w:r>
        <w:t>En vertu de l'art. 20 LAVS, si le droit aux rentes est soustrait à toute exécution forcée, il est cependant expressément prévu que les créances découlant de la LAVS peuvent être compensées avec des prestations échues (art. 20 al. 2 let. a LAVS).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que la créance se trouve en étroite corrélation avec la rente. En l'espèce, il est établi que ni l’Hospice général ni le service des prestations complémentaires ne se sont acquittés du paiement des cotisations de l’assurée pour les années 2001 et 2002, de sorte que cette dernière reste débitrice d’un montant de 801 fr. 60. La caisse est donc légitimée à procéder à une compensation. Quant au montant de cette dernière, soit 50 fr. par mois, il apparaît justifié dans la mesure où il respecte le minimum vital de la recourante, le calcul auquel s’est livrée l’intimée à cet égard n’étant pas critiquable. Force est de constater que l’assurée dispose encore, une fois</w:t>
      </w:r>
    </w:p>
    <w:p>
      <w:r>
        <w:t>A/3353/2008 - 6/7 - la compensation opérée, d’un montant de 568 fr. 20 par mois en sus du minimum vital. Dès lors, eu égard aux explications qui précèdent, le Tribunal de céans ne peut que constater que la caisse était légitimée à procéder à une compensation et rejeter le recours.</w:t>
      </w:r>
    </w:p>
    <w:p>
      <w:r>
        <w:t>A/3353/2008 - 7/7 -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