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ATAS/337/2013 vom 8. April 2013</w:t>
      </w:r>
    </w:p>
    <w:p>
      <w:r>
        <w:t>GE Cour de justice, 2013-04-08, FR</w:t>
      </w:r>
    </w:p>
    <w:p>
      <w:r>
        <w:rPr>
          <w:b/>
        </w:rPr>
        <w:t xml:space="preserve">Quelle: </w:t>
      </w:r>
      <w:r>
        <w:t>https://mcp.opencaselaw.ch/entscheid/ge_gerichte_ATAS_337_2013</w:t>
      </w:r>
    </w:p>
    <w:p>
      <w:r>
        <w:t>FR: GE_GERICHTE ATAS/337/2013 du 8 avril 2013</w:t>
      </w:r>
    </w:p>
    <w:p>
      <w:r>
        <w:t>IT: GE_GERICHTE ATAS/337/2013 del 8 aprile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(cf. ATF 130 V 446 consid. 1 et ATF 129 V 4 consid. 1.2). Les dispositions de la novelle du 6 octobre 2006 modifiant la LPC et de celle du 13 décembre 2007 modifiant la LPCC, entrées en vigueur le 1er janvier 2008 (RO 2007 6068), sont régies par le même principe et sont donc applicables pour le calcul des prestations postérieures au 31 décembre 2007, comme en l’espèce.</w:t>
      </w:r>
    </w:p>
    <w:p>
      <w:r>
        <w:rPr>
          <w:b/>
        </w:rPr>
        <w:t>E. 3</w:t>
      </w:r>
    </w:p>
    <w:p>
      <w:r>
        <w:t>La Cour de céans constate que l'objet du litige est limité, selon "l'opposition" du recourant du 20 décembre 2012, à la question du bien-fondé de la "décision sur demande de révision" du 28 novembre 2012, singulièrement à la question de la date de la prise en compte de l'augmentation des charges locatives du recourant, l'intimé l'ayant fixée au 1er juillet 2009 et le recourant estimant qu'elle doit être avancée au 1er février 2009.</w:t>
      </w:r>
    </w:p>
    <w:p>
      <w:r>
        <w:t>A/3943/2012 - 8/9 - En effet, tous les autres griefs formés par le recourant le 20 décembre 2012 à l'encontre des trois autres décisions du 28 novembre 2012 ont été retirés par celui-ci le 14 janvier 2013 et seule l'opposition du recourant à la décision sur demande de révision du 28 novembre 2012, déposée auprès du SPC le 20 décembre 2012, a été expressément maintenue. Cette opposition a été transmise à la Cour de céans le 18 janvier 2013. Or, force est de constater que cette opposition n'a pas été traitée par l'intimé, alors qu'elle aurait dû l'être, la décision litigieuse n'étant pas une décision sur opposition susceptible de recours devant la Cour de céans. Par ailleurs, la décision sur opposition du 28 novembre 2012, laquelle était susceptible de recours devant la Cour de céans, concerne la période du 1er janvier au 31 décembre 2010, qui n'a pas été contestée par le recourant. Enfin, les nouvelles conclusions du recourant déposées le 19 mars 2013, dans la mesure où elles concernent des décisions autres que celle faisant l'objet du présent litige, ne sont pas recevables.</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