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ATAS/337/2010 vom 14. September 2009</w:t>
      </w:r>
    </w:p>
    <w:p>
      <w:r>
        <w:t>GE Cour de justice, 2009-09-14, FR</w:t>
      </w:r>
    </w:p>
    <w:p>
      <w:r>
        <w:rPr>
          <w:b/>
        </w:rPr>
        <w:t xml:space="preserve">Quelle: </w:t>
      </w:r>
      <w:r>
        <w:t>https://mcp.opencaselaw.ch/entscheid/ge_gerichte_ATAS_337_2010</w:t>
      </w:r>
    </w:p>
    <w:p>
      <w:r>
        <w:t>FR: GE_GERICHTE ATAS/337/2010 du 14 septembre 2009</w:t>
      </w:r>
    </w:p>
    <w:p>
      <w:r>
        <w:t>IT: GE_GERICHTE ATAS/337/2010 del 14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30 mai 2005, d’autre part le 22 octobre 2009, date à laquelle le jugement de divorce est devenu exécutoire.</w:t>
      </w:r>
    </w:p>
    <w:p>
      <w:r>
        <w:rPr>
          <w:b/>
        </w:rPr>
        <w:t>E. 4</w:t>
      </w:r>
    </w:p>
    <w:p>
      <w:r>
        <w:t>Selon les documents produits, les avoirs LPP accumulés par le demandeur s'élèvent à 1'173'565 fr. 77 (1'134'831 fr. 87 + 38'733 fr. 90), intérêts au 22 octobre 2009 compris. De ce montant, il convient de déduire les avoirs accumulés jusqu'au moment du mariage, soit 755'129 fr. 71 (738'885 fr. 62 + 16'244 fr. 09), intérêts au 22 octobre 2009 compris, ainsi que le montant de 150'000 fr., selon la clé de répartition fixée par le juge du divorce et dont le Tribunal de céans ne saurait s'écarter. On obtient ainsi une prestation acquise pendant le mariage et à partager de 268'436 fr. 05. Ainsi le demandeur doit à son ex-épouse le montant de 134'218 fr. (268'436 fr. 05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A/36/2010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A/36/2010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