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ATAS/336/2024 vom 16. Mai 2024</w:t>
      </w:r>
    </w:p>
    <w:p>
      <w:r>
        <w:t>GE Cour de justice, 2024-05-16, FR</w:t>
      </w:r>
    </w:p>
    <w:p>
      <w:r>
        <w:rPr>
          <w:b/>
        </w:rPr>
        <w:t xml:space="preserve">Quelle: </w:t>
      </w:r>
      <w:r>
        <w:t>https://mcp.opencaselaw.ch/entscheid/ge_gerichte_ATAS_336_2024</w:t>
      </w:r>
    </w:p>
    <w:p>
      <w:r>
        <w:t>FR: GE_GERICHTE ATAS/336/2024 du 16 mai 2024</w:t>
      </w:r>
    </w:p>
    <w:p>
      <w:r>
        <w:t>IT: GE_GERICHTE ATAS/336/2024 del 16 maggio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six jours du droit à l’indemnité du recourant, pour absence non excusée à un entretien de conseil.</w:t>
      </w:r>
    </w:p>
    <w:p>
      <w:r>
        <w:rPr>
          <w:b/>
        </w:rPr>
        <w:t>E. 4</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1 let. d LACI en liaison avec l'art. 17 al. 3 let. b LACI sanctionne le fait que l'entretien de conseil n'a pas pu se dérouler dans des conditions normales, soit à la date (et à l'heure) fixée(s) par l'office compétent (cf. art. 21 al. 2 OACI),</w:t>
      </w:r>
    </w:p>
    <w:p>
      <w:r>
        <w:t>A/3123/2023 - 4/6 - ce qui comprend les arrivées tardives de plus de 15 minutes (arrêt du Tribunal fédéral 8C_498/2008 du 5 janvier 2009).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Le Tribunal fédéral a jugé qu'était analogue au cas précité celui d'un assuré qui avait enregistré par inadvertance une date erronée dans son agenda électronique et auquel aucun autre manquement ne peut être reproché durant les trois délais- cadres dont il a bénéficié (arrêt 8C_157/2009 du 3 juillet 2009 consid. 4.2).</w:t>
      </w:r>
    </w:p>
    <w:p>
      <w:r>
        <w:rPr>
          <w:b/>
        </w:rPr>
        <w:t>E. 5</w:t>
      </w:r>
    </w:p>
    <w:p>
      <w:r>
        <w:t>En l'espèce, il n'est pas contesté que l'absence du recourant à l'entretien-conseil était excusable, puisqu’il est établi qu’il a travaillé toute la journée du 23 mai 2023. Il n’en demeure pas moins que l'intéressé n'a pas avisé son conseiller de son absence et cela, alors même que la convocation mentionnait expressément l’obligation d'avertir en cas d'empêchement. En conséquence, il y a bel et bien eu manquement de la part du recourant, en tant qu’il a omis d'aviser l'ORP de son absence. La sanction est dès lors justifiée. Reste à en examiner la quotité.</w:t>
      </w:r>
    </w:p>
    <w:p>
      <w:r>
        <w:rPr>
          <w:b/>
        </w:rPr>
        <w:t>E. 6</w:t>
      </w:r>
    </w:p>
    <w:p>
      <w:r>
        <w:t>Selon l'art. 30 al. 3 LACI, la durée de la suspension du droit à l'indemnité de chômage est proportionnelle à la gravité de la faute. En vertu de l'art. 45 al. 3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barème (Bulletin LACI IC/D79) établi par le SECO, lorsque l'assuré ne se conforme pas à des instructions, la sanction se situe entre 3 et 10 jours s'il s'agit du premier manquement. Contrairement au pouvoir d'examen du Tribunal fédéral, celui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w:t>
      </w:r>
    </w:p>
    <w:p>
      <w:r>
        <w:t>A/3123/2023 - 5/6 -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w:t>
      </w:r>
    </w:p>
    <w:p>
      <w:r>
        <w:rPr>
          <w:b/>
        </w:rPr>
        <w:t>E. 7</w:t>
      </w:r>
    </w:p>
    <w:p>
      <w:r>
        <w:t>En l'occurrence, force est de constater que la sanction appliquée par l'intimé correspond au minimum préconisé en cas de second manquement. Sa quotité n'apparaît donc pas injustifiée. Il en résulte que la décision de sanction en cause n’apparaît pas critiquable. Le recours est rejeté. La procédure est gratuite (art. 61 let. fbis a contrario LPGA).</w:t>
      </w:r>
    </w:p>
    <w:p>
      <w:r>
        <w:t>***</w:t>
      </w:r>
    </w:p>
    <w:p>
      <w:r>
        <w:t>A/3123/2023 - 6/6 -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