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ATAS/336/2021 vom 14. April 2021</w:t>
      </w:r>
    </w:p>
    <w:p>
      <w:r>
        <w:t>GE Cour de justice, 2021-04-14, FR</w:t>
      </w:r>
    </w:p>
    <w:p>
      <w:r>
        <w:rPr>
          <w:b/>
        </w:rPr>
        <w:t xml:space="preserve">Quelle: </w:t>
      </w:r>
      <w:r>
        <w:t>https://mcp.opencaselaw.ch/entscheid/ge_gerichte_ATAS_336_2021</w:t>
      </w:r>
    </w:p>
    <w:p>
      <w:r>
        <w:t>FR: GE_GERICHTE ATAS/336/2021 du 14 avril 2021</w:t>
      </w:r>
    </w:p>
    <w:p>
      <w:r>
        <w:t>IT: GE_GERICHTE ATAS/336/2021 del 14 aprile 2021</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a été interjeté en temps utile (art. 60 LPGA), dans le respect des exigences de forme et de contenu prescrites par la loi (art. 61 let. b LPGA ; cf. aussi art. 89B de la loi sur la procédure administrative du 12 septembre 1985 - LPA - E 5 10). Le recourant a qualité pour recourir (art. 59 LPGA).</w:t>
      </w:r>
    </w:p>
    <w:p>
      <w:r>
        <w:rPr>
          <w:b/>
        </w:rPr>
        <w:t>E. 2</w:t>
      </w:r>
    </w:p>
    <w:p>
      <w:r>
        <w:t>Le recours porte sur la question de savoir si le recourant a droit à une rente d’invalidité antérieurement au 1er janvier 2019 et sur le montant de celle-ci.</w:t>
      </w:r>
    </w:p>
    <w:p>
      <w:r>
        <w:rPr>
          <w:b/>
        </w:rPr>
        <w:t>E. 3</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A/1034/2020 - 15/21 -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w:t>
      </w:r>
    </w:p>
    <w:p>
      <w:r>
        <w:t>L'évaluation des syndromes sans pathogenèse ni étiologie claires et sans constat de déficit organique ne fait pas l'objet d'un consensus médical (arrêt du Tribunal fédéral 9C_619/2012 du 9 juillet 2013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w:t>
      </w:r>
    </w:p>
    <w:p>
      <w:r>
        <w:t>A/1034/2020 - 16/21 -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t>A/1034/2020 - 17/21 - Le juge vérifie librement si l’expert médical a exclusivement tenu compte des déficits fonctionnels résultant de l’atteinte à la santé et si son évaluation de l’exigibilité repose sur une base objective.</w:t>
      </w:r>
    </w:p>
    <w:p>
      <w:r>
        <w:rPr>
          <w:b/>
        </w:rPr>
        <w:t>E. 5</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A/1034/2020 - 18/21 -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7</w:t>
      </w:r>
    </w:p>
    <w:p>
      <w:r>
        <w:t>En l’espèce, le recourant conteste l’expertise du Dr K______, en tant qu’elle fixe le début de son incapacité de travailler durable au 1er janvier 2018. Il fait valoir que le Dr B______ avait indiqué dans son rapport du 22 juillet 2016 qu’une aggravation clinique neurologique l’empêchait pour l’instant de reprendre toute activité professionnelle et que le Dr C______ avait estimé, le 29 avril 2016, que sa capacité de travail était de 20% et qu’il l’avait mis en arrêt de travail à 50% dès le 13 juillet 2013. La chambre de céans a jugé, le 6 juin 2017, soit après les rapports des Drs C______ et B______ précités, qu’un complément d’instruction s’imposait, retenant ainsi qu’ils n’étaient pas suffisamment probants. L’intimé a en conséquence fait procéder à une expertise neurologique de l’assuré par le Dr F______, qui a conclu, le 7 août 2018, à une capacité de travail entière de celui-ci sur le plan neurologique. Ce rapport répond aux réquisits pour se voir reconnaître une pleine valeur probante. L’assuré a fait valoir que les conclusions de cette expertise, à savoir une pleine capacité de travail, ne correspondait pas à la réalité, en produisant un rapport du 2 mai 2018 de la Consultation de la douleur des HUG, qui ne se prononçait pas sur sa capacité de travail, et un rapport du Dr J______ du 1er juin 2018, qui retenait que les plaintes chroniques actuelles de l’assuré ne pouvaient pas être considérées comme l’expression d’une algie vasculaire de la face, ce qui allait dans le sens des conclusions de l’expert neurologue. Le Dr J______ expliquait en effet l’incapacité de travail de l’assuré par une décompensation psychosomatique probable dans le contexte d’une grappe de l’algie vasculaire. Cette appréciation a été par la suite confirmée par le Dr K______, qui a retenu une incapacité de travail pour des causes psychiques. Le rapport du Dr J______ ne remet donc pas en cause la valeur probante de l’expertise du Dr F______, mais au contraire en confirme les conclusions. Le rapport du Dr E______ du 23 octobre 2017, qui retenait les diagnostics de cluster headache chronique et de dysthymie entraînant une totale incapacité de travail de l’assuré, ne suffit pas à remettre en cause les conclusions des expertises, dès lors qu’il s’agit du médecin traitant généraliste du recourant. S’agissant de l’expertise du Dr K______, elle répond aux réquisits pour se voir reconnaître une pleine valeur probante. Cet expert a confirmé de façon motivée et convaincante, dans son complément d’expertise du 19 octobre 2020, la date à partir de laquelle il retenait une totale incapacité de travail du recourant, soit le 1er janvier 2018, date à laquelle le recourant a interrompu son activité professionnelle. Les rapports médicaux des médecins traitants du recourant qui attestent d’une</w:t>
      </w:r>
    </w:p>
    <w:p>
      <w:r>
        <w:t>A/1034/2020 - 19/21 - incapacité de travail antérieure à cette date ne remettent pas sérieusement en cause les conclusions du Dr K______, étant rappelé que la chambre de céans a déjà jugé qu’ils ne pouvaient se voir reconnaître pleine valeur probante. C’est en conséquence à juste titre que l’intimé a retenu une incapacité de travail totale du recourant dès le mois de janvier 2018 et un droit à une rente entière d’invalidité dès le 1er janvier 2019.</w:t>
      </w:r>
    </w:p>
    <w:p>
      <w:r>
        <w:rPr>
          <w:b/>
        </w:rPr>
        <w:t>E. 8</w:t>
      </w:r>
    </w:p>
    <w:p>
      <w:r>
        <w:t>a. Le recourant a encore fait valoir que le calcul du montant de la rente reposait sur une base qui ne correspondait pas à la réalité, car il se référait au chiffre d’affaires et au développement de l’entreprise sur une base dégradée par sa maladie. b. Aux termes de l’art. 36 al. 2 LAI les dispositions de la loi fédérale du 20 décembre 1946 sur l’assurance-vieillesse et survivants (LAVS ; RS 831.10) sont applicables par analogie au calcul des rentes ordinaires. Le Conseil fédéral peut édicter des dispositions complémentaires. L’art. 29bis al. 1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Conformément à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Selon l'art. 141 RAVS, tout assuré a le droit d'exiger de chaque caisse de compensation qui tient pour lui un compte individuel un extrait des inscriptions faites, portant des indications relatives aux employeurs (al. 1 phr. 1). L'assuré peut, dans les 30 jours suivant la remise de l'extrait de compte, contester avec motifs à l'appui l'exactitude d'une inscription auprès de la caisse de compensation, laquelle se prononce dans la forme d'une décision de la caisse; cette décision est susceptible de recours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c. En l’espèce, le recourant semble se référer à la jurisprudence applicable dans le cadre de la fixation du degré d’invalidité, selon laquelle on ne peut pas retenir, comme revenu sans invalidité, le dernier salaire que la personne assurée a perçu, s’il ne correspond manifestement pas à ce qu’elle aurait été en mesure de réaliser, selon toute vraisemblance, en tant que personne valide, car elle rencontrait déjà des difficultés professionnelles en raison d'une dégradation progressive de son état de santé (arrêts du Tribunal fédéral des assurances I 168/05 du 24 avril 2006 consid. 3.3 et B 80/01 du 17 octobre 2003 consid. 5.2.2).</w:t>
      </w:r>
    </w:p>
    <w:p>
      <w:r>
        <w:t>A/1034/2020 - 20/21 - Il n’y a pas de règle similaire applicable dans le calcul du montant de la rente d’invalidité. En l’occurrence, la caisse a détaillé dans la réponse comment elle a établi le montant de la rente d’invalidité du recourant, selon un calcul qui n’appelle pas la critique et qui doit être confirmé.</w:t>
      </w:r>
    </w:p>
    <w:p>
      <w:r>
        <w:rPr>
          <w:b/>
        </w:rPr>
        <w:t>E. 9</w:t>
      </w:r>
    </w:p>
    <w:p>
      <w:r>
        <w:t>Infondé, le recours doit être rejeté.</w:t>
      </w:r>
    </w:p>
    <w:p>
      <w:r>
        <w:rPr>
          <w:b/>
        </w:rPr>
        <w:t>E. 10</w:t>
      </w:r>
    </w:p>
    <w:p>
      <w:r>
        <w:t>Un émolument de CHF 200.- sera mis à la charge du recourant (art. 69 al. 1bis LAI).</w:t>
      </w:r>
    </w:p>
    <w:p>
      <w:r>
        <w:t>A/1034/2020 - 21/21 -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