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ATAS/336/2019 vom 4. April 2019</w:t>
      </w:r>
    </w:p>
    <w:p>
      <w:r>
        <w:t>GE Cour de justice, 2019-04-04, FR</w:t>
      </w:r>
    </w:p>
    <w:p>
      <w:r>
        <w:rPr>
          <w:b/>
        </w:rPr>
        <w:t xml:space="preserve">Quelle: </w:t>
      </w:r>
      <w:r>
        <w:t>https://mcp.opencaselaw.ch/entscheid/ge_gerichte_ATAS_336_2019</w:t>
      </w:r>
    </w:p>
    <w:p>
      <w:r>
        <w:t>FR: GE_GERICHTE ATAS/336/2019 du 4 avril 2019</w:t>
      </w:r>
    </w:p>
    <w:p>
      <w:r>
        <w:t>IT: GE_GERICHTE ATAS/336/2019 del 4 aprile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A/1995/2018 - 9/15 -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Les modifications du 18 mars 2011 de la loi fédérale sur l'assurance-invalidité (révision 6a), entrées en vigueur le 1er janvier 2012, entraînent la modification de certaines dispositions légales dans le domaine de l'assurance-invalidité. Sur le plan matériel, sont en principe applicables les règles de droit en vigueur au moment où les faits juridiquement déterminants se sont produits (ATF 129 V 1 consid. 1 ; ATF 127 V 467 consid. 1 et les références).</w:t>
      </w:r>
    </w:p>
    <w:p>
      <w:r>
        <w:rPr>
          <w:b/>
        </w:rPr>
        <w:t>E. 4</w:t>
      </w:r>
    </w:p>
    <w:p>
      <w:r>
        <w:t>Le délai de recours est de trente jours (art. 56 LPGA ; art. 62 al. 1 de la de loi sur la procédure administrative du 12 septembre 1985 [LPA - E 5 10]). Interjeté dans la forme et le délai prévus par la loi, le recours est recevable (art. 56 ss LPGA et 62 ss LPA).</w:t>
      </w:r>
    </w:p>
    <w:p>
      <w:r>
        <w:rPr>
          <w:b/>
        </w:rPr>
        <w:t>E. 5</w:t>
      </w:r>
    </w:p>
    <w:p>
      <w:r>
        <w:t>Le litige porte sur le droit du recourant à des prestations de l’assurance-invalidité.</w:t>
      </w:r>
    </w:p>
    <w:p>
      <w:r>
        <w:rPr>
          <w:b/>
        </w:rPr>
        <w:t>E. 6</w:t>
      </w:r>
    </w:p>
    <w:p>
      <w:r>
        <w:t>Aux termes de l’art. 8 al. 1er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 ATF 102 V 165</w:t>
      </w:r>
    </w:p>
    <w:p>
      <w:r>
        <w:t>A/1995/2018 - 10/15 - consid. 3.1 ; VSI 2001 p. 223 consid. 2b ;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rPr>
          <w:b/>
        </w:rPr>
        <w:t>E. 8</w:t>
      </w:r>
    </w:p>
    <w:p>
      <w:r>
        <w:t>a. S’agissant du caractère invalidant d’un trouble somatoforme douloureux,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w:t>
      </w:r>
    </w:p>
    <w:p>
      <w:r>
        <w:t>A/1995/2018 - 11/15 - b.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 ATF 125 V 351 consid. 3a).</w:t>
      </w:r>
    </w:p>
    <w:p>
      <w:r>
        <w:rPr>
          <w:b/>
        </w:rPr>
        <w:t>E. 9</w:t>
      </w:r>
    </w:p>
    <w:p>
      <w:r>
        <w:t>La jurisprudence a d’abord considéré que les dépressions légères à moyennes n’étaient invalidantes que lorsqu'on pouvait apporter la preuve qu'elles étaient « résistantes à la thérapie » (ATF 140 V 193 consid 3.3 ; arrêts du Tribunal fédéral 9C_841/2016 du 8 février 2017 consid. 3.1 et 9C_13/2016 du 14 avril 2016 consid. 4.2). Selon la nouvelle jurisprudence, il importe plutôt de savoir, si la personne concernée peut objectivement apporter la preuve d'une incapacité de travail et de gain invalidante. Le fait qu'une dépression légère à moyenne est en principe traitable au moyen d'une thérapie, doit continuer à être pris en compte dans l'appréciation globale des preuves, dès lors qu'une thérapie adéquate et suivie de manière conséquente est considérée comme raisonnablement exigible. En particulier, dans les cas où, au vu du dossier, il est vraisemblable qu'il n'y a qu'un léger trouble dépressif, qui ne peut déjà être considéré comme chronicisé et qui n'est pas non plus associé à des comorbidités, aucune procédure de preuve structurée n'est généralement requise (arrêt du Tribunal fédéral 9C_14/2018 du</w:t>
      </w:r>
    </w:p>
    <w:p>
      <w:r>
        <w:rPr>
          <w:b/>
        </w:rPr>
        <w:t>E. 12</w:t>
      </w:r>
    </w:p>
    <w:p>
      <w:r>
        <w:t>mars 2018 consid 2.1). 10. a. Pour pouvoir calculer le degré d'invalidité, l'administration (ou le juge, s'il y a eu un recours) a besoin de documents que le médecin, éventuellement aussi d'autres</w:t>
      </w:r>
    </w:p>
    <w:p>
      <w:r>
        <w:t>A/1995/2018 - 12/15 -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w:t>
      </w:r>
    </w:p>
    <w:p>
      <w:r>
        <w:t>A/1995/2018 - 13/15 -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 11. En l’occurrence, l’intimé se réfère au rapport de la CRR de juin 2016. Pour le surplus, il rappelle que l’épisode dépressif moyen avec syndrome somatique alors mis en évidence a été investigué par la Dresse K________, en décembre 2017, et que celle-ci n’a finalement retenu qu’un trouble dépressif récurrent épisode léger, responsable d’une diminution de rendement de 20% dans une activité adaptée. Le recourant reproche pour sa part à l’intimé de n’avoir pas pris en compte toutes ses atteintes. Il rappelle qu’il souffre - outre les séquelles de sa fracture au poignet droit -, d’un syndrome du tunnel carpien aigu à droite, d’une myélopathie cervicale, d’un canal lombaire étroit et d’un syndrome pyramidal des membres inférieurs. Il fait remarquer que l’évaluation à laquelle il a été procédé pour la SUVA s’est limitée aux handicaps en lien avec l’accident pris en charge par cette dernière. Les autres affections physiques mentionnées n’ont pas été investiguées. Dès, lors, en se contentant de suivre l’évaluation de la SUVA sans ordonner de mesures d’instruction supplémentaires sur le plan médical, l’OAI a négligé l’instruction de son dossier. Il est vrai que la CRR a limité son examen aux diagnostics en lien avec l’accident, relevant au passage que les diagnostics médicaux sans lien avec l’accident rendaient mieux compte des plaintes et limitations du patient que les atteintes en lien avec l’évènement et pouvaient défavorablement influencer le retour au travail (lombalgies chroniques avec trouble de la marche, probable canal lombaire rétréci, cervicalgies chroniques). Il a été souligné que les limitations fonctionnelles retenues n’ont été établies qu’en lien avec la seule atteinte au poignet, les atteintes des rachis cervical et lombaire ne relevant pas de l’assureur-accidents. Le Dr J_______, médecin d’arrondissement de la SUVA, a fait de même, en soulignant que les troubles concernant les rachis lombaire et cervical, purement dégénératifs, n’étaient pas à la charge de l’assureur-accidents. Le SMR, auquel le dossier a alors été soumis, s’est contenté de préconiser une expertise psychiatrique, vu le contexte de syndrome douloureux chronique. S’il est vrai qu’un tel syndrome a été évoqué au cours de l’instruction, il n’en demeure cependant pas moins que des atteintes somatiques avérées existent, qui n’ont été investiguées ni par l’assureur-accidents - dont elles ne relevaient pas -, ni par l’intimé. Ainsi, le Dr E______ a mis en évidence des troubles dégénératifs particulièrement marqués au niveau L4-L5, avec un rétrécissement du canal sévère à ce niveau - corroborés par l’imagerie -, mais également un syndrome pyramidal</w:t>
      </w:r>
    </w:p>
    <w:p>
      <w:r>
        <w:t>A/1995/2018 - 14/15 - des membres inférieurs, asymétrique, plus marqué à droite qu’à gauche, ainsi qu’une discopathie dégénérative avec protrusion discale au niveau des cervicales. Le médecin a observé un important trouble à la marche et émis l’hypothèse qu’un problème ancien au niveau cervical pouvait avoir été aggravé par le rétrécissement sévère au niveau lombaire (cf. rapports des 5 et 21 octobre 2013). Il a également été indiqué par les médecins que la faiblesse du releveur du pied était en lien en majeure partie avec la myélopathie et que le canal lombaire étroit jouait probablement un rôle dans la symptomatologie à ce niveau, même s’il n’y a pas de déficit radiculaire net. Le médecin traitant quant à lui, souligne l’aggravation lente et progressive de toutes les douleurs, en partie secondaires au canal lombaire étroit. Ces atteintes objectives n’ont pourtant fait l’objet d’aucune évaluation en termes de capacité de travail, au motif qu’un trouble somatoforme douloureux avait été conjointement évoqué. Quant à la valeur probante de l’évaluation psychiatrique à laquelle s’est livrée la Dresse K________, elle pose également question. En effet, l’experte a écarté le diagnostic d’épisode dépressif moyen avec syndrome somatique, au profit de celui de trouble dépressif récurrent épisode actuel léger, sans expliquer sa position. De même, elle a retenu le diagnostic d’état de stress post-traumatique, mais jugé celui- ci incapacitant, sans expliquer là encore pour quelles raisons elle parvenait à cette conclusion. Enfin, elle a conclu à un syndrome douloureux somatoforme persistant, qu’elle a jugé non invalidant alors même qu’elle notait dans le même temps que l’assuré n’avait pas beaucoup de ressources personnelles. On relèvera encore que l’experte ne s’est guère prononcée sur les différents indicateurs jurisprudentiels. De ce qui précède, la Cour de céans retient que l’instruction, lacunaire, doit être complétée par des investigations supplémentaires sur le plan physique. Il serait souhaitable de procéder à la mise sur pied d’une expertise pluridisciplinaire, comportant un nouveau volet psychique, afin d’approfondir la question des différents indicateurs posés par la jurisprudence et le diagnostic d’état de stress post-traumatique brièvement évoqué par l’experte. En conséquence, le recours est partiellement admis et la cause renvoyée à l’intimé pour instruction complémentaire et nouvelle décision. Etant donné que, depuis le 1er juillet 2006, la procédure n'est plus gratuite (art. 69 al. 1bis LAI), au vu du sort du recours, il y a lieu de condamner l'intimé au paiement d'un émolument de CHF 200.-.</w:t>
      </w:r>
    </w:p>
    <w:p>
      <w:r>
        <w:t>A/1995/2018 - 15/15 -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