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ATAS/335/2022 vom 13. April 2022</w:t>
      </w:r>
    </w:p>
    <w:p>
      <w:r>
        <w:t>GE Cour de justice, 2022-04-13, FR</w:t>
      </w:r>
    </w:p>
    <w:p>
      <w:r>
        <w:rPr>
          <w:b/>
        </w:rPr>
        <w:t xml:space="preserve">Quelle: </w:t>
      </w:r>
      <w:r>
        <w:t>https://mcp.opencaselaw.ch/entscheid/ge_gerichte_ATAS_335_2022</w:t>
      </w:r>
    </w:p>
    <w:p>
      <w:r>
        <w:t>FR: GE_GERICHTE ATAS/335/2022 du 13 avril 2022</w:t>
      </w:r>
    </w:p>
    <w:p>
      <w:r>
        <w:t>IT: GE_GERICHTE ATAS/335/2022 del 13 aprile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la question de savoir si le recourant peut prétendre à un trois- quarts de rente durant la période du 1er septembre 2018 au 31 août 2019.</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A/3029/2021 - 7/11 -</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A/3029/2021 - 8/11 -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Le recourant conteste en premier lieu avoir présenté une capacité de travail totale dans une activité adaptée à partir de septembre 2018 jusqu'à son accident en date du</w:t>
      </w:r>
    </w:p>
    <w:p>
      <w:r>
        <w:rPr>
          <w:b/>
        </w:rPr>
        <w:t>E. 12</w:t>
      </w:r>
    </w:p>
    <w:p>
      <w:r>
        <w:t>a. En ce qui concerne le calcul de la perte de gain dans l'exercice d'une activité adaptée, le recourant conteste le revenu sans invalidité retenu par l'intimé et estime qu'il faut ajouter aux salaires réalisés dans son ancienne profession l'indemnité mensuelle de repas de CHF 300.-, soit CHF 3'600.- par an. Selon le recourant, ses revenus moyens, indexés à 2018, se seraient alors élevés à CHF 88'973.-. Il considère également que les revenus d'invalide ressortant des statistiques doivent être réduits de 15% pour tenir compte de ses limitations fonctionnelles, de l'adaptation éventuellement nécessaire de son poste de travail, de ses années de service auprès d'un seul employeur, de la situation sociale, de ses capacités d'adaptation à un nouvel emploi, du salaire et des contributions patronales à la prévoyance professionnelle obligatoire et de la durée prévisible des rapports de travail.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w:t>
      </w:r>
    </w:p>
    <w:p>
      <w:r>
        <w:t>A/3029/2021 - 10/11 - décision est rendue doivent être prises en compte (ATF 129 V 222 et ATF 128 V 174). La mesure dans laquelle les salaires ressortant des statistiques, retenus à titre de salaire d'invalide,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c. En l'espèce, les questions concernant la prise en compte de l'indemnité de repas dans le salaire de valide et l'abattement des salaires statistiques de 15% peuvent rester ouvertes, au vu de ce qui suit. En admettant le salaire de valide allégué par le recourant, de CHF 88'973.-, et un abattement de 15% des salaires statistiques de CHF 68'336.-, selon l'Enquête suisse des salaires (ESS) 2018, la perte de gain ne serait en effet que de 34,7% ([88' 973 – (68'336.- - 15%)] x 100 : 88'973). Un tel taux d'invalidité n'ouvre pas le droit à une rente.</w:t>
      </w:r>
    </w:p>
    <w:p>
      <w:r>
        <w:rPr>
          <w:b/>
        </w:rPr>
        <w:t>E. 13</w:t>
      </w:r>
    </w:p>
    <w:p>
      <w:r>
        <w:t>Au vu de ce qui précède, le recours sera rejeté et le recourant condamné au paiement d'un émolument de CHF 200.- (art. 69 al.1bis LAI).</w:t>
      </w:r>
    </w:p>
    <w:p>
      <w:r>
        <w:t>A/3029/2021 - 11/11 -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