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ATAS/335/2019 vom 12. April 2019</w:t>
      </w:r>
    </w:p>
    <w:p>
      <w:r>
        <w:t>GE Cour de justice, 2019-04-12, FR</w:t>
      </w:r>
    </w:p>
    <w:p>
      <w:r>
        <w:rPr>
          <w:b/>
        </w:rPr>
        <w:t xml:space="preserve">Quelle: </w:t>
      </w:r>
      <w:r>
        <w:t>https://mcp.opencaselaw.ch/entscheid/ge_gerichte_ATAS_335_2019</w:t>
      </w:r>
    </w:p>
    <w:p>
      <w:r>
        <w:t>FR: GE_GERICHTE ATAS/335/2019 du 12 avril 2019</w:t>
      </w:r>
    </w:p>
    <w:p>
      <w:r>
        <w:t>IT: GE_GERICHTE ATAS/335/2019 del 12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A/3141/2018 - 9/12 -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éventuel du recourant à des prestations de l’assurance- invalidité, plus particulièrement, sur sa capacité résiduelle de travail dans une activité adaptée et le degré d’invalidité en découlant.</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w:t>
      </w:r>
    </w:p>
    <w:p>
      <w:r>
        <w:t>A/3141/2018 - 10/12 -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 juge des assurances sociales doit procéder à des investigations supplémentaires ou en ordonner lorsqu'il y a suffisamment de raisons</w:t>
      </w:r>
    </w:p>
    <w:p>
      <w:r>
        <w:t>A/3141/2018 - 11/12 -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w:t>
      </w:r>
    </w:p>
    <w:p>
      <w:r>
        <w:t>En l’espèce, il apparaît que l’instruction à laquelle s’est livré l’intimé est effectivement lacunaire, l’aggravation survenue en juin 2018 ne lui ayant pas été annoncée avant qu’il ne statue. Par ailleurs, les médecins qui se sont exprimés n’ont pas pris position clairement sur la capacité résiduelle de travail du recourant dans une activité adaptée. La suggestion émise par l’un d’eux, le Dr F________, et par le SMR, visant à mettre sur pied une expertise et une évaluation approfondie de la capacité de travail du recourant semble donc raisonnable, d’autant que le recourant lui-même reproche à l’intimé de n’avoir pas suffisamment investigué la question. Dans ces conditions, il convient de suivre la proposition de l’intimé visant à lui renvoyer la cause pour instruction complémentaire. L’aggravation ne remontant qu’à l’été 2018, soit il y a moins d’une année, on ne voit pas qu’il en découlera une prolongation insoutenable de la procédure, comme semble le craindre le recourant. Au vu de ce qui précède, le recours est partiellement admis, la décision du 24 juillet 2018 annulée et la cause renvoyée à l’intimé pour instruction complémentaire et nouvelle décision. Le recourant obtenant partiellement gain de cause, une indemnité de CHF 2'800.- lui est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200.-.</w:t>
      </w:r>
    </w:p>
    <w:p>
      <w:r>
        <w:t>A/3141/2018 - 12/12 -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