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ATAS/335/2018 vom 16. April 2018</w:t>
      </w:r>
    </w:p>
    <w:p>
      <w:r>
        <w:t>GE Cour de justice, 2018-04-16, FR</w:t>
      </w:r>
    </w:p>
    <w:p>
      <w:r>
        <w:rPr>
          <w:b/>
        </w:rPr>
        <w:t xml:space="preserve">Quelle: </w:t>
      </w:r>
      <w:r>
        <w:t>https://mcp.opencaselaw.ch/entscheid/ge_gerichte_ATAS_335_2018</w:t>
      </w:r>
    </w:p>
    <w:p>
      <w:r>
        <w:t>FR: GE_GERICHTE ATAS/335/2018 du 16 avril 2018</w:t>
      </w:r>
    </w:p>
    <w:p>
      <w:r>
        <w:t>IT: GE_GERICHTE ATAS/335/2018 del 16 aprile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force le 1er janvier 2003, est applicable à la présente procédure.</w:t>
      </w:r>
    </w:p>
    <w:p>
      <w:r>
        <w:rPr>
          <w:b/>
        </w:rPr>
        <w:t>E. 3</w:t>
      </w:r>
    </w:p>
    <w:p>
      <w:r>
        <w:t>Le recours, déposé dans les délai et forme prévus par la loi, est recevable (art. 56ss LPGA). En particulier, malgré leur libellé, on interprétera les conclusions de la recourante relatives au traitement médical comme tendant à la condamnation de l’intimée à sa prise en charge. Elles sont ainsi recevables, contrairement à des conclusions constatatoires dont le caractère est subsidiaire par rapport à une action formatrice (ATF 129 V 289 consid. 2.1, arrêt du Tribunal fédéral des assurances B 149/06 du 11 juin 2007 consid. 5.2).</w:t>
      </w:r>
    </w:p>
    <w:p>
      <w:r>
        <w:rPr>
          <w:b/>
        </w:rPr>
        <w:t>E. 4</w:t>
      </w:r>
    </w:p>
    <w:p>
      <w:r>
        <w:t>Le litige porte sur le droit de la recourante à des prestations de l’assurance- accidents à la suite de son accident dès le 1er juin 2017, plus particulièrement sur le</w:t>
      </w:r>
    </w:p>
    <w:p>
      <w:r>
        <w:t>A/4654/2017 - 17/22 - droit au traitement médical, sur le droit à une rente, ainsi que sur le taux d’indemnisation de l’atteinte à l’intégrité. En revanche, le calcul de la surindemnisation ayant fait l’objet de la décision de l’intimée du 8 décembre 2015, entrée en force, n’a pas à être examiné dans la présente procédure.</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w:t>
      </w:r>
    </w:p>
    <w:p>
      <w:r>
        <w:rPr>
          <w:b/>
        </w:rPr>
        <w:t>E. 6</w:t>
      </w:r>
    </w:p>
    <w:p>
      <w:r>
        <w:t>La responsabilité de l'assureur-accident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w:t>
      </w:r>
    </w:p>
    <w:p>
      <w:r>
        <w:rPr>
          <w:b/>
        </w:rPr>
        <w:t>E. 7</w:t>
      </w:r>
    </w:p>
    <w:p>
      <w:r>
        <w:t>La jurisprudence a développé plusieurs critères pour admettre le caractère adéquat du lien de causalité entre un accident et une affection psychique additionnelle à une atteinte à la santé physique. Il y a d’abord lieu de classer les accidents en fonction de leur déroulement en trois catégories : les accidents de peu de gravité, ceux de gravité moyenne et les accidents graves (arrêt du Tribunal fédéral 8C_98/2015 du 18 juin 2015 consid. 3.1). Pour admettre l’existence du lien de causalité en présence d’un accident de gravité moyenne, il faut prendre en considération sept critères exhaustifs développés par la jurisprudence, portant notamment sur les circonstances de l’accident et la gravité des lésions (cf. ATF 117 V 369 consid. 4c et arrêt du Tribunal fédéral des assurances U 201/05 du 4 mai 2006 consid. 5.1), dont trois au moins doivent être remplis.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w:t>
      </w:r>
    </w:p>
    <w:p>
      <w:r>
        <w:t>A/4654/2017 - 18/22 - applicables en cas d'accident de gravité moyenne se cumulent ou revêtent une intensité particulière (arrêt du Tribunal fédéral 8C_510/2008 du 24 avril 2009 consid. 5.2 ; arrêt du Tribunal fédéral des assurances U 369/01 du 4 mars 2002 consid. 2c). S’agissant du caractère adéquat du rapport de causalité en cas d'atteintes à la santé sans preuve de déficit organique consécutives à un traumatisme de type « coup du lapin » à la colonne cervicale, un traumatisme analogue ou un traumatisme crânio- cérébral, la jurisprudence applique les mêmes critères que ceux dégagés à propos des troubles d'ordre psychique, avec toutefois certaines modifications (ATF 134 V 109 consid. 10). En cas de traumatisme de ce type, il n'est pas décisif de savoir si les troubles dont est atteint l'assuré sont plutôt de nature somatique ou psychique (ATF 117 V 359 consid. 6a). On rappellera cependant que même en présence d'un traumatisme de type « coup du lapin »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98 consid. 2a). Cette précision de jurisprudence vaut lorsque le problème psychique apparaît prédominant directement après l'accident ou encore lorsqu'on peut retenir que durant toute la phase de l'évolution, depuis l'accident jusqu'au moment de l'appréciation, les troubles physiques n'ont joué qu'un rôle de moindre importance (arrêt du Tribunal fédéral des assurances U 142/05 du 6 avril 2006 consid. 2).</w:t>
      </w:r>
    </w:p>
    <w:p>
      <w:r>
        <w:rPr>
          <w:b/>
        </w:rPr>
        <w:t>E. 8</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w:t>
      </w:r>
    </w:p>
    <w:p>
      <w:r>
        <w:t>A/4654/2017 - 19/22 -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9</w:t>
      </w:r>
    </w:p>
    <w:p>
      <w:r>
        <w:t>La jurisprudence a déduit du droit d'être entendu (art. 29 al. 2 de la Constitution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 arrêt du Tribunal fédéral 9C_136/2017 du 21 août 2017 consid. 5.2). La violation du droit d’être entendu, de caractère formel, doit entraîner l'annulation de la décision attaquée, indépendamment des chances de succès du recourant sur le fond (ATF 127 V 431c consid. 3d/aa ; arrêt du Tribunal fédéral 8C_120/2009 du 3 février 2010 consid. 2.2.1). Pour autant qu'elle ne soit pas d'une gravité</w:t>
      </w:r>
    </w:p>
    <w:p>
      <w:r>
        <w:t>A/4654/2017 - 20/22 -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w:t>
      </w:r>
    </w:p>
    <w:p>
      <w:r>
        <w:rPr>
          <w:b/>
        </w:rPr>
        <w:t>E. 10</w:t>
      </w:r>
    </w:p>
    <w:p>
      <w:r>
        <w:t>Dans un récent arrêt de principe rendu en matière d’assurance-invalidité,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Il a par la suite précisé que ces exigences sont également applicables à l’assurance-accidents (ATF 138 V 318 consid. 6.1.4). On soulignera du reste que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w:t>
      </w:r>
    </w:p>
    <w:p>
      <w:r>
        <w:rPr>
          <w:b/>
        </w:rPr>
        <w:t>E. 11</w:t>
      </w:r>
    </w:p>
    <w:p>
      <w:r>
        <w:t>En l’espèce, aucun des rapports des médecins traitants ne satisfait entièrement aux exigences en matière de valeur probante rappelées ci-dessus, dès lors qu’ils ne contiennent pas tous les éléments formels nécessaires. Ils ne suffisent dès lors pas à trancher le litige. C’est sur la seconde expertise diligentée par l’intimée que repose la décision dont est recours. Or, celle-ci n’a pas donné au préalable l’occasion à la recourante de se prononcer sur le choix des experts pressentis et sur les questions qui leur seraient soumises. Conformément à la jurisprudence citée, dès lors que cette expertise fonde la décision de l’intimée et revêt ainsi une importance décisive dans la procédure administrative, cette omission constitue une violation grave du droit d’être entendue de la recourante, que la pleine cognition de la chambre de céans ne suffit pas à pallier. Le fait que les médecins traitants aient été appelés à se déterminer sur le contenu de l’expertise ne permet pas non plus de remédier aux lacunes qui ont entouré sa mise en œuvre.</w:t>
      </w:r>
    </w:p>
    <w:p>
      <w:r>
        <w:t>A/4654/2017 - 21/22 - Pour ce motif déjà, il convient de renvoyer la cause à l’intimée, à charge pour elle de mettre en œuvre une nouvelle expertise, auprès d’experts choisis consensuellement, dans le respect des exigences légales et jurisprudentielles en matière de participation des assurés. La chambre de céans relève en outre que plusieurs médecins ont fait état d’un TCC, diagnostic posé notamment dans la lettre de sortie du Service de réadaptation des HUG du 15 mai 2013, par le Dr C______ dans son courrier du 31 mai 2013, et par la Dresse K______ en août 2014. L’expert neurologue mandaté par l’intimée a du reste confirmé cette atteinte. Il appartiendra aux experts nouvellement mandatés de déterminer si ce TCC est en lien de causalité naturelle avec l’accident, étant rappelé qu’il s’agit là d’une question de fait d'ordre médical (arrêt du Tribunal fédéral 8C_685/2015 du 13 septembre 2016 consid. 3.1) et que l’admission d’un tel lien suppose selon la jurisprudence que les troubles à la nuque ou à la colonne cervicale se manifestent dans la période de 72 heures suivant l'accident, les autres troubles caractéristiques du tableau clinique ne devant pas nécessairement appparaître dans ce laps de temps (arrêts du Tribunal fédéral 8C_450/2007 du 17 janvier 2008 consid. 6 et 8C_8/2007 du 15 janvier 2008 consid. 4.1). En fonction des résultats de l’expertise à intervenir, il incombera cas échéant à l’intimée d’analyser le droit aux prestations de la recourante en se fondant sur les critères dégagés par la jurisprudence en matière de causalité adéquate entre un accident et des troubles consécutifs à un TCC, avant de rendre une nouvelle décision.</w:t>
      </w:r>
    </w:p>
    <w:p>
      <w:r>
        <w:rPr>
          <w:b/>
        </w:rPr>
        <w:t>E. 12</w:t>
      </w:r>
    </w:p>
    <w:p>
      <w:r>
        <w:t>Eu égard aux éléments qui précèdent, le recours est partiellement admis. La recourante, qui obtient partiellement gain de cause, a droit à des dépens qu’il convient de fixer à CHF 2'000.- (art. 61 let. g LPGA). Pour le surplus, la procédure est gratuite (art. 61 let. a LPGA).</w:t>
      </w:r>
    </w:p>
    <w:p>
      <w:r>
        <w:t>A/4654/2017 - 22/22 -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