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ATAS/334/2026 vom 22. April 2026</w:t>
      </w:r>
    </w:p>
    <w:p>
      <w:r>
        <w:t>GE Cour de justice, 2026-04-22, FR</w:t>
      </w:r>
    </w:p>
    <w:p>
      <w:r>
        <w:rPr>
          <w:b/>
        </w:rPr>
        <w:t xml:space="preserve">Quelle: </w:t>
      </w:r>
      <w:r>
        <w:t>https://mcp.opencaselaw.ch/entscheid/ge_gerichte_ATAS_334_2026</w:t>
      </w:r>
    </w:p>
    <w:p>
      <w:r>
        <w:t>FR: GE_GERICHTE ATAS/334/2026 du 22 avril 2026</w:t>
      </w:r>
    </w:p>
    <w:p>
      <w:r>
        <w:t>IT: GE_GERICHTE ATAS/334/2026 del 22 aprile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Est litigieux le droit du recourant à des mesures médicales de l'assurance- invalidité, plus particulièrement à la prise en charge par l’intimé de séances d’ergothérapie.</w:t>
      </w:r>
    </w:p>
    <w:p>
      <w:r>
        <w:rPr>
          <w:b/>
        </w:rPr>
        <w:t>E. 3</w:t>
      </w:r>
    </w:p>
    <w:p>
      <w:r>
        <w:t>novembre 2021 (OIC-DFI ; RS 831.232.211), les infirmités congénitales pour le traitement desquelles des mesures médicales sont accordées en vertu de l’art. 13 LAI sont énumérées dans l’annexe. Selon l’Annexe de l’OIC-DFI, font notamment partie des infirmités congénitales :  les troubles importants du comportement chez des personnes atteintes d’un retard mental congénital, lorsqu’un traitement est nécessaire. Le retard mental en soi ne correspond pas à une infirmité congénitale au sens de l’AI (ch. 403) ;  les troubles du spectre de l’autisme, lorsque le diagnostic a été confirmé par un médecin spécialiste en pédiatrie avec formation approfondie en neuropédiatrie ou par un médecin spécialiste en pédiatrie avec formation approfondie en pédiatrie du développement (ch. 405). Le droit au traitement d’une infirmité congénitale s’ouvre avec la mise en œuvre de mesures médicales, mais au plus tôt après la naissance accomplie de l’enfant (art 3ter al. 1 RAI). Il s’éteint à la fin du mois au cours duquel l’assuré atteint l’âge de 20 ans (art 3ter al. 2 RAI). Selon l’art. 14 al. 1 LAI, les mesures médicales comprennent : les traitements et examens liés à ces traitements qui sont dispensés sous forme ambulatoire ou en milieu hospitalier ainsi que les soins dispensés dans un hôpital par : des médecins (ch. 1), des chiropraticiens (ch. 2), des personnes fournissant des prestations sur prescription ou sur mandat d’un médecin ou d’un chiropraticien (ch. 3 ; let. a) ; les prestations de soins fournies sous forme ambulatoire (let. b) ; les analyses, médicaments, moyens et appareils diagnostiques ou thérapeutiques prescrits par</w:t>
      </w:r>
    </w:p>
    <w:p>
      <w:r>
        <w:t>A/3328/2025 - 11/15 - un médecin ou, dans les limites fixées par le Conseil fédéral, par un chiropraticien (let. c) ; les mesures de réhabilitation effectuées ou prescrites par un médecin (let. d) ; le séjour à l’hôpital correspondant au standard de la division commune (let. e) ; les prestations des pharmaciens lors de la remise des médicaments prescrits conformément à la let. c (let. f) ; les frais de transport médicalement nécessaires (let. g). Les mesures médicales doivent être efficaces, appropriées et économiques. L’efficacité doit être démontrée selon des méthodes scientifiques ; dans le cas des maladies rares, la fréquence de l’apparition d’une maladie est prise en considération (art. 14 al. 2 LAI). L’obligation de l’assurance-invalidité de verser des prestations pour les infirmités congénitales et la nature des mesures pouvant entrer en considération sont précisées dans la CMRM éditée par l’Office fédéral des assurances sociales, dans son état au 1er janvier 2025, ici applicable (sur la portée des directives de l’administration : ATF 133 V 257 consid. 3.2 ; 131 V 42 consid. 2.3). La CMRM expose que, pour le traitement des infirmités congénitales dans le cadre de l’art. 13 LAI, l’ergothérapie peut être considérée comme un complément nécessaire à la physiothérapie ou comme une mesure médicale indépendante (ch. 1014.1a). L’ergothérapie peut viser à remédier à une diminution importante de la capacité de gain en tant que mesure médicale de réadaptation limitée dans le temps au sens de l’art. 12 LAI. Elle ne le devient que si, nettement séparée du traitement de l’affection primaire, elle s’adresse à des états pathologiques relativement stabilisés et vise directement la réadaptation professionnelle (voir ch. 60, 65 ; ch. 1014.1b). L’ergothérapie doit être prescrite par un médecin. L’indication doit être justifiée par des troubles neurologiques ou neuropsychologiques objectifs, documentés par les résultats d’examen correspondants et ayant des répercussions sur l’acquisition de capacités ou d’habiletés. La demande doit mettre en évidence les objectifs du traitement (ch. 1014.3). Le ch. 405 de la CMRM, valable dès le 1ᵉʳ janvier 2022, dans son état au 1ᵉʳ janvier 2025, rappelle la teneur du ch. 405 de l’Annexe de l’OIC-DFI. Selon le ch. 14 CMRM relatif au début et à la durée du droit, est considéré comme traitement d’une infirmité congénitale tout acte médical ou accompli sous la responsabilité d’un médecin et visant à améliorer ou à maintenir l’état de santé de l’assuré, y compris des contrôles (réguliers). Les assurés ont droit aux mesures médicales au sens de l’art. 13 LAI dès que le diagnostic est confirmé ou hautement probable, que l’infirmité congénitale nécessite un traitement (dont font partie les contrôles médicaux d’une infirmité congénitale établie en toute certitude) et que le traitement offre des chances de succès. Sont réputés mesures médicales nécessaires au traitement d’une infirmité congénitale tous les actes dont la science médicale reconnaît qu’ils sont indiqués (art. 14, al. 2, LAI). Les</w:t>
      </w:r>
    </w:p>
    <w:p>
      <w:r>
        <w:t>A/3328/2025 - 12/15 - prestations octroyées doivent être économiques. Il faut que la décision de l’office AI permette de connaître le but de la prestation, le genre (par ex. physiothérapie Bobath), le volume (fréquence et durée des séances) ainsi que la durée prévisible (horizon temporel) du traitement et le fournisseur de prestations. Une mesure médicale ne peut pas être d’une durée indéterminée – une garantie de prise en charge devrait généralement être délivrée pour deux ans au plus – et les mesures doivent autant que possible être coordonnées avec les médecins qui ont traité le patient jusque-là. Pour déterminer s’il y a infirmité congénitale, comme pour l’art. 12 LAI, c’est la symptomatologie et non la pathogenèse de l’affection qui est déterminante. S’il existe des doutes sur la présence effective d’une infirmité congénitale, l’avis dûment motivé d’un spécialiste la tenant pour vraisemblable est déterminant (RCC 1963 p. 354, consid. 1 p. 355). Il ne suffit cependant pas que le diagnostic posé corresponde à l’une des infirmités figurant dans la liste de l’annexe de l’OIC. Encore faut-il, lorsqu’il n’y a pas d’indications suffisantes à ce sujet dans le rapport médical, examiner, en se fondant sur l’anamnèse, l’état de l’assuré et d’éventuelles instructions complémentaires, s’il s’agit bien de la forme congénitale de la maladie (arrêt du Tribunal fédéral 9C_607/2017 du 15 décembre 2017, consid. 2.2). Lorsque des mesures médicales ne peuvent être octroyées à un assuré mineur sous l’angle de l’art. 13 LAI, il y a lieu d’examiner si elles peuvent l’être sur la base de l’art. 12 LAI (arrêts du Tribunal fédéral I.309/05 du 1er décembre 2005 consid. 2.3.1 et 9C_138/2017 du 20 juillet 2017 consid. 2.2 et 4.3).</w:t>
      </w:r>
    </w:p>
    <w:p>
      <w:r>
        <w:rPr>
          <w:b/>
        </w:rPr>
        <w:t>E. 3.1</w:t>
      </w:r>
    </w:p>
    <w:p>
      <w:r>
        <w:t>Le 1er janvier 2022, les modifications de la LAI et de la LPGA du 19 juin 2020 (développement continu de l’AI ; RO 2021 705), y compris les ordonnances correspondantes,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En l’espèce, la décision litigieuse a été rendue le 1er septembre 2025 et porte sur le refus de mesures médicales sollicitées en janvier 2025. Par conséquent, les dispositions légales en vigueur dès le 1er janvier 2022 sont applicables.</w:t>
      </w:r>
    </w:p>
    <w:p>
      <w:r>
        <w:rPr>
          <w:b/>
        </w:rPr>
        <w:t>E. 3.2</w:t>
      </w:r>
    </w:p>
    <w:p>
      <w:r>
        <w:t>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 art. 8 al. 1 LAI). Les assurés ont droit aux prestations prévues aux art. 13 (droit à des mesures médicales pour le traitement des infirmités congénitales) et 21 (droit aux moyens auxiliaires) LAI, quelles que soient les possibilités de réadaptation à la vie professionnelle ou à l’accomplissement de leurs travaux habituels (art. 8 al. 2 LAI). Les mesures de réadaptation comprennent notamment des mesures médicales (art. 8 al. 3 let. a LAI). Selon l’art. 12 LAI intitulé « droit à des mesures médicales dans un but de réadaptation », l’assuré a droit, jusqu’à ce qu’il atteigne l’âge de 20 ans, aux mesures médicales de réadaptation qui n’ont pas pour objet le traitement de l’affection comme telle, mais sont directement nécessaires à sa réadaptation pour</w:t>
      </w:r>
    </w:p>
    <w:p>
      <w:r>
        <w:t>A/3328/2025 - 8/15 - lui permettre de fréquenter l’école obligatoire, de suivre une formation professionnelle initiale, d’exercer une activité lucrative ou d’accomplir ses travaux habituels (al. 1). Les mesures médicales de réadaptation doivent être de nature à améliorer de façon durable et importante la capacité de l’assuré à fréquenter l’école, à suivre une formation, à exercer une activité lucrative ou à accomplir ses travaux habituels, ou être de nature à prévenir une diminution notable de cette capacité. Le droit à ces mesures n’existe que si le médecin traitant spécialisé a posé un pronostic favorable tenant compte de la gravité de l’infirmité (al. 3). Les mesures médicales de réadaptation sont définies par leur orientation directe vers la réadaptation (art. 12 LAI). Ces mesures doivent être distinguées de celles qui traitent l’atteinte à la santé en elle-même, comme les mesures médicales de l’AI en cas d’infirmité congénitale (art. 13 LAI). Les mesures médicales qui n’influent qu’indirectement l’aptitude à la réadaptation (par ex. la psychothérapie en cas de bégaiement grave chez un enfant d’intelligence normale présentant un trouble du comportement) ou qui ne peuvent qu’atténuer les symptômes (par ex. en cas d’anorexie nerveuse) ne sont pas obligatoirement prises en charge par l’assurance-invalidité (Message du Conseil fédéral concernant la modification de la loi fédérale sur l’assurance-invalidité [Développement continu de l’AI] du 15 février 2017, FF 2017 2363 p. 2409). Conformément à l’art. 2 al. 1 du règlement sur l’assurance-invalidité du 17 janvier 1961 (RAI - RS 831.201), sont considérées comme mesures médicales au sens de l’art. 12 LAI notamment les traitements chirurgicaux, physiothérapeutiques et psychothérapeutiques. Elles visent directement la réadaptation au sens de l’art. 12 al. 3 LAI une fois l’affection en tant que telle traitée et l’état de santé stabilisé. Selon l’art. 2ter RAI, les notions suivantes au sens de l’art. 12 LAI sont précisées comme suit : a) formation professionnelle initiale : toute formation professionnelle initiale, qu’elle soit ou non financée par l’assurance-invalidité ; b) capacité à fréquenter l’école : capacité à fréquenter une école ordinaire, une école spéciale ou une école privée ; c) capacité à exercer une activité lucrative : capacité à exercer un emploi sur les marchés primaire ou secondaire du travail. L’art. 12 LAI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104 V 79 consid. 1 ; 102 V 40 consid. 1 et les références citées ; arrêt du Tribunal fédéral I.842/02 du 4 juillet 2003 consid. 1). La loi désigne sous le nom de « traitement de l’affection comme telle » les mesures médicales que l’assurance-invalidité ne doit pas prendre en charge. Aussi longtemps qu’il existe un phénomène pathologique labile et qu’on applique des</w:t>
      </w:r>
    </w:p>
    <w:p>
      <w:r>
        <w:t>A/3328/2025 - 9/15 -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 LAI. En revanche, l’assurance-invalidité n’a pas à prendre en charge une mesure destinée au traitement de l’affection comme telle, même si l’on peut prévoir qu’elle améliorera de manière importante la réadaptation. Dans le cadre de l’art. 12 LAI, le succès de la réadaptation ne constitue pas, en lui-même, un critère décisif car, pratiquement, toute mesure qui réussit du point de vue médical a simultanément des effets bénéfiques sur la vie active (ATF 120 V 279 consid. 3a). Les assurés mineurs sans activité lucrative sont réputés invalides s’ils présentent une atteinte à leur santé physique, mentale ou psychique qui provoquera probablement une incapacité de gain totale ou partielle (art. 8 al. 2 LPGA). Lorsqu’il s’agit de mineurs, la jurisprudence a précisé que des mesures médicales pouvaient déjà être utiles de manière prédominante à la réadaptation professionnelle et, malgré le caractère encore provisoirement labile de l’affection, pouvaient être prises en charge par l’assurance-invalidité si, sans ces mesures, la guérison serait accompagnée de séquelles ou s’il en résulterait un état défectueux stable d’une autre manière, ce qui nuirait à la formation professionnelle, diminuerait la capacité de gain ou aurait ces deux effets en même temps (ATF 105 V 19). Pour les jeunes assurés, une mesure médicale permet d’atteindre une amélioration durable au sens de l’art. 12 al. 1 LAI lorsque, selon toute vraisemblance, elle se maintiendra durant une partie significative des perspectives d’activités (ATF 104 V 79 et 101 V 50 consid. 3b avec les références). De plus, l’amélioration au sens de cette disposition légale doit être qualifiée d’importante. En règle générale, on doit pouvoir s’attendre à ce que des mesures médicales atteignent, en un laps de temps déterminé, un résultat certain par rapport au but visé (ATF 101 V 52 consid. 3c ; 98 V 211 consid. 4b ; arrêt du Tribunal fédéral 9C_1074/2009 du 30 septembre 2010 consid. 2). Selon l'art. 13 al. 1 LAI, les assurés ont droit jusqu'à ce qu'ils atteignent l'âge de 20 ans à des mesures médicales pour le traitement des infirmités congénitales (art. 3 al. 2 LPGA). D'après l'art. 13 al. 2 LAI, les mesures médicales au sens de l'al. 1 sont accordées pour le traitement des malformations congénitales, des maladies génétiques ainsi que des affections prénatales et périnatales qui : font</w:t>
      </w:r>
    </w:p>
    <w:p>
      <w:r>
        <w:t>A/3328/2025 - 10/15 - l'objet d'un diagnostic posé par un médecin spécialiste (let. a) ; engendrent une atteinte à la santé (let. b) ; présentent un certain degré de gravité (let. c) ; nécessitent un traitement de longue durée ou complexe (let. d), et peuvent être traitées par des mesures médicales au sens de l'art. 14 LAI (let. e). Est réputée infirmité congénitale toute maladie présente à la naissance accomplie de l'enfant (art. 3 al. 2 LPGA). La simple prédisposition à une maladie n'est pas réputée infirmité congénitale (art. 3 al. 2 RAI). Le moment où une infirmité congénitale est reconnue comme telle n'est pas déterminant (art. 3 al. 3 RAI). La prise en charge de l’assurance-invalidité a pour but de supprimer ou réduire l’atteinte à la santé résultant d’une infirmité congénitale, sans égard aux possibilités de réadaptation à la vie professionnelle (ATF 115 V 202 consid. 4e/cc). Selon l'art. 3bis al. 1 RAI, en vertu de l'art. 14ter al. 1 let. b LAI, le Département fédéral de l’intérieur (DFI) dresse la liste des infirmités congénitales donnant droit à des mesures médicales en vertu de l'art. 13 LAI. Il peut édicter des prescriptions détaillées concernant la liste (art. 3bis al. 2 RAI). Selon l’art. 1 de l’ordonnance du DFI concernant les infirmités congénitales du</w:t>
      </w:r>
    </w:p>
    <w:p>
      <w:r>
        <w:rPr>
          <w:b/>
        </w:rPr>
        <w:t>E. 3.3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Aussi n’existe-t-il pas, en droit des assurances sociales, un principe selon lequel l’administration ou le juge devrait statuer, dans le doute, en faveur de l’assuré (ATF 135 V 39 consid. 6.1 et la référence).</w:t>
      </w:r>
    </w:p>
    <w:p>
      <w:r>
        <w:rPr>
          <w:b/>
        </w:rPr>
        <w:t>E. 3.4</w:t>
      </w:r>
    </w:p>
    <w:p>
      <w:r>
        <w:t>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w:t>
      </w:r>
    </w:p>
    <w:p>
      <w:r>
        <w:t>A/3328/2025 - 13/15 - consid. 4 et les arrêts cités ; arrêt du Tribunal fédéral 9C_259/2018 du 25 juillet 2018 consid. 4.2).</w:t>
      </w:r>
    </w:p>
    <w:p>
      <w:r>
        <w:rPr>
          <w:b/>
        </w:rPr>
        <w:t>E. 3.5</w:t>
      </w:r>
    </w:p>
    <w:p>
      <w:r>
        <w:t>Selon l'art. 87 du règlement sur l’assurance-invalidité, du 17 janvier 1961 (RAI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Le principe inquisitoire, selon lequel les faits pertinents de la cause doivent être constatés d'office par l'autorité (cf. art. 43 al. 1 LPGA), ne s'applique pas à la procédure de l'art. 87 al. 3 RAI (ATF 130 V 64 consid. 5.2.5).</w:t>
      </w:r>
    </w:p>
    <w:p>
      <w:r>
        <w:rPr>
          <w:b/>
        </w:rPr>
        <w:t>E. 3.6</w:t>
      </w:r>
    </w:p>
    <w:p>
      <w:r>
        <w:t>En vertu de l’art. 53 al. 3 LPGA, l’assureur peut reconsidérer une décision contre laquelle un recours est formé jusqu’à l’envoi de son préavis.</w:t>
      </w:r>
    </w:p>
    <w:p>
      <w:r>
        <w:rPr>
          <w:b/>
        </w:rPr>
        <w:t>E. 4</w:t>
      </w:r>
    </w:p>
    <w:p>
      <w:r>
        <w:t>En l’espèce, il n’est pas contesté que la demande de mesures médicales du recourant ne mentionnait que le diagnostic de fragilité du chromosome X et non celui de TSA. La décision querellée a été rendue sur la base de l’avis du SMR du 12 juin 2025, qui constatait que le syndrome de l’X fragile ne correspondait pas à une infirmité congénitale de l’OIC. Cela étant le SMR relevait que le recourant présentait vraisemblablement une déficience intellectuelle, malgré l’absence de ce diagnostic dans les rapports médicaux plus récents, et que pour établir si, dans le contexte de son syndrome, celui-ci présentait des infirmités congénitales remplissant les critères d’une OIC, il avait été demandé aux parents si l’assuré avait un suivi spécialisé et la réponse reçue le 27 janvier 2025, avait été négative. Vu la sévérité de son atteinte et son âge, il était pertinent d’examiner le droit à des mesures de formation professionnelle. Il en résulte que le SMR n’excluait pas que le recourant présente des infirmités congénitales remplissant les critères d’une OIC. Vu la situation spécifique du recourant, qui n’était pas suivi par un spécialiste en Suisse, il apparaît contestable que l’intimé n’ait pas instruit le cas. L’on ne se trouve pas dans un cas de révision, permettant de ne pas entrer en matière, selon l’art. l'art. 87 al. 3 RAI, si le recourant ne rend pas plausible une aggravation. L’intimé aurait également dû, à teneur de la jurisprudence précitée, examiner si les mesures médicales pouvaient être octroyées sur la base de l’art. 12 LAI, ce qui était suggéré par le SMR. Dans la mesure où la mère de l’assuré invoquait dans le recours que celui-ci souffrait d’un TSA et qu’elle annonçait la production du rapport de la Dre G______, celui-ci aurait dû être transmis à la chambre de céans par l’intimé</w:t>
      </w:r>
    </w:p>
    <w:p>
      <w:r>
        <w:t>A/3328/2025 - 14/15 - au lieu d’être considéré comme constituant une nouvelle demande. Le fait que ce rapport ait été rédigé après la décision en cause n’exclut en effet pas sa prise en considération dans le cadre de la présente procédure, selon la jurisprudence, dès lors qu’il a trait à la situation antérieure à cette date.</w:t>
      </w:r>
    </w:p>
    <w:p>
      <w:r>
        <w:rPr>
          <w:b/>
        </w:rPr>
        <w:t>E. 5</w:t>
      </w:r>
    </w:p>
    <w:p>
      <w:r>
        <w:t>Il se justifie en conséquence d’admettre le recours et de renvoyer la cause à l’intimé pour instruction complémentaire sur la demande de prestations déposée le</w:t>
      </w:r>
    </w:p>
    <w:p>
      <w:r>
        <w:rPr>
          <w:b/>
        </w:rPr>
        <w:t>E. 10</w:t>
      </w:r>
    </w:p>
    <w:p>
      <w:r>
        <w:t>janvier 2025 par le recourant, suite à la production du rapport de la Dre G______, Au vu du sort du recours, il y a lieu de condamner l'intimé au paiement d'un émolument de CHF 200.- (art. 69 al. 1bis LAI).</w:t>
      </w:r>
    </w:p>
    <w:p>
      <w:r>
        <w:t>A/3328/2025 - 15/15 -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