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ATAS/334/2025 vom 12. Mai 2025</w:t>
      </w:r>
    </w:p>
    <w:p>
      <w:r>
        <w:t>GE Cour de justice, 2025-05-12, FR</w:t>
      </w:r>
    </w:p>
    <w:p>
      <w:r>
        <w:rPr>
          <w:b/>
        </w:rPr>
        <w:t xml:space="preserve">Quelle: </w:t>
      </w:r>
      <w:r>
        <w:t>https://mcp.opencaselaw.ch/entscheid/ge_gerichte_ATAS_334_2025</w:t>
      </w:r>
    </w:p>
    <w:p>
      <w:r>
        <w:t>FR: GE_GERICHTE ATAS/334/2025 du 12 mai 2025</w:t>
      </w:r>
    </w:p>
    <w:p>
      <w:r>
        <w:t>IT: GE_GERICHTE ATAS/334/2025 del 12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 Le délai de recours est de trente jours (art. 56 LPGA ; art. 62 al. 1 de la loi sur la procédure administrative du 12 septembre 1985 [LPA – E 5 10]).</w:t>
      </w:r>
    </w:p>
    <w:p>
      <w:r>
        <w:rPr>
          <w:b/>
        </w:rPr>
        <w:t>E. 1.3</w:t>
      </w:r>
    </w:p>
    <w:p>
      <w:r>
        <w:t>Interjeté dans la forme et le délai prévus par la loi, le recours est recevable.</w:t>
      </w:r>
    </w:p>
    <w:p>
      <w:r>
        <w:rPr>
          <w:b/>
        </w:rPr>
        <w:t>E. 2</w:t>
      </w:r>
    </w:p>
    <w:p>
      <w:r>
        <w:t>Le litige porte sur le point de savoir si le recourant peut prétendre au maintien de sa rente entière d’invalidité au-delà du 31 décembre 2021.</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w:t>
      </w:r>
    </w:p>
    <w:p>
      <w:r>
        <w:t>A/3312/2024 - 8/20 -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rPr>
          <w:b/>
        </w:rPr>
        <w:t>E. 3.3</w:t>
      </w:r>
    </w:p>
    <w:p>
      <w:r>
        <w:t>En l’occurrence, il n’est pas contesté que le droit à la rente est né antérieurement au 1er janvier 2022, sous l’empire du droit en vigueur jusqu’au 31 décembre 2021. Toutefois, la question litigieuse est de savoir si un motif de révision est survenu, selon l’art. 88a RAI, à compter de cette date, de sorte que les dispositions propres à la révision seront citées dans leur nouvelle teneur.</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4.1.1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t>A/3312/2024 - 9/20 -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Compte tenu de ce qui précède, le recours est très partiellement admis au sens des considérants et la décision litigieuse réformée en ce sens que le recourant a droit à une rente entière d’invalidité du 1er novembre 2020 au 31 mars 2022.</w:t>
      </w:r>
    </w:p>
    <w:p>
      <w:r>
        <w:rPr>
          <w:b/>
        </w:rPr>
        <w:t>E. 10.1</w:t>
      </w:r>
    </w:p>
    <w:p>
      <w:r>
        <w:t>Bien qu’il obtienne partiellement gain de cause, l’assuré,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w:t>
      </w:r>
    </w:p>
    <w:p>
      <w:r>
        <w:rPr>
          <w:b/>
        </w:rPr>
        <w:t>E. 10.2</w:t>
      </w:r>
    </w:p>
    <w:p>
      <w:r>
        <w:t>Au vu du sort du recours, il y a lieu de condamner l’intimé au paiement d’un émolument de CHF 200.- (art. 69 al. 1bis LAI).</w:t>
      </w:r>
    </w:p>
    <w:p>
      <w:r>
        <w:t>*****</w:t>
      </w:r>
    </w:p>
    <w:p>
      <w:r>
        <w:t>A/3312/2024 - 20/20 -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