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ATAS/334/2020 vom 7. Mai 2020</w:t>
      </w:r>
    </w:p>
    <w:p>
      <w:r>
        <w:t>GE Cour de justice, 2020-05-07, FR</w:t>
      </w:r>
    </w:p>
    <w:p>
      <w:r>
        <w:rPr>
          <w:b/>
        </w:rPr>
        <w:t xml:space="preserve">Quelle: </w:t>
      </w:r>
      <w:r>
        <w:t>https://mcp.opencaselaw.ch/entscheid/ge_gerichte_ATAS_334_2020</w:t>
      </w:r>
    </w:p>
    <w:p>
      <w:r>
        <w:t>FR: GE_GERICHTE ATAS/334/2020 du 7 mai 2020</w:t>
      </w:r>
    </w:p>
    <w:p>
      <w:r>
        <w:t>IT: GE_GERICHTE ATAS/334/2020 del 7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dans le cadre d'une nouvelle demande de prestations, sur le point de savoir si le recourant peut prétendre une rente d'invalidité.</w:t>
      </w:r>
    </w:p>
    <w:p>
      <w:r>
        <w:rPr>
          <w:b/>
        </w:rPr>
        <w:t>E. 5</w:t>
      </w:r>
    </w:p>
    <w:p>
      <w:r>
        <w:t>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En cas de recours, cet examen matériel incombe au juge (ATF 117 V 198 consid. 3a). Selon la jurisprudence, l'administration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C'est en effet la dernière décision qui repose sur un examen matériel du droit à la rente avec une constatation des faits pertinents, une appréciation des preuves et une comparaison des revenus</w:t>
      </w:r>
    </w:p>
    <w:p>
      <w:r>
        <w:rPr>
          <w:b/>
        </w:rPr>
        <w:t>E. 10</w:t>
      </w:r>
    </w:p>
    <w:p>
      <w:r>
        <w:t>/ 20 ______________________________________________________________________</w:t>
      </w:r>
    </w:p>
    <w:p>
      <w:r>
        <w:t>A/2502/2019 conformes au droit qui constitue le point de départ temporel pour l'examen d'une modification du degré d'invalidité lors d'une nouvelle révision de la rente (ATF 133 V 108 consid. 5.4 ; 130 V 343 consid. 3.5.2).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(ou sur l'accomplissement des travaux habituels) ont subi un changement important (cf. ATF 130 V 343 consid. 3.5 ; arrêt du Tribunal fédéral des assurances I 526/01 du 6 mai 2002 consid. 1a).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rPr>
          <w:b/>
        </w:rPr>
        <w:t>E. 11</w:t>
      </w:r>
    </w:p>
    <w:p>
      <w:r>
        <w:t>/ 20 ______________________________________________________________________</w:t>
      </w:r>
    </w:p>
    <w:p>
      <w:r>
        <w:t>A/2502/2019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w:t>
      </w:r>
    </w:p>
    <w:p>
      <w:r>
        <w:rPr>
          <w:b/>
        </w:rPr>
        <w:t>E. 12</w:t>
      </w:r>
    </w:p>
    <w:p>
      <w:r>
        <w:t>/ 20 ______________________________________________________________________</w:t>
      </w:r>
    </w:p>
    <w:p>
      <w:r>
        <w:t>A/2502/2019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rPr>
          <w:b/>
        </w:rPr>
        <w:t>E. 13</w:t>
      </w:r>
    </w:p>
    <w:p>
      <w:r>
        <w:t>/ 20 ______________________________________________________________________</w:t>
      </w:r>
    </w:p>
    <w:p>
      <w:r>
        <w:t>A/2502/2019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w:t>
      </w:r>
    </w:p>
    <w:p>
      <w:r>
        <w:rPr>
          <w:b/>
        </w:rPr>
        <w:t>E. 14</w:t>
      </w:r>
    </w:p>
    <w:p>
      <w:r>
        <w:t>/ 20 ______________________________________________________________________</w:t>
      </w:r>
    </w:p>
    <w:p>
      <w:r>
        <w:t>A/2502/2019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a. En l’espèce, il y a lieu d'examiner si l'état de santé du recourant s'est péjoré depuis le rejet de la première demande de prestations par décision du 9 août 2013, confirmée sur recours par la Cour de céans le 25 septembre 2014. À l'époque, le recourant, qui souffrait de lombosciatalgies gauches chroniques depuis septembre 2010 et d'une tendinobursite trochantérienne gauche depuis janvier 2011, ne présentait pas d'atteinte invalidante au sens de l'assurance- invalidité. Dans la décision litigieuse, l'intimé, se référant à l'avis du SMR du 21 mai 2019, lui-même basé sur le rapport d'expertise psychiatrique du 15 mai 2019 – qui retient le diagnostic de dysthymie depuis 2014 sans répercussion sur la capacité de travail –, parvient à la conclusion que la nouvelle atteinte à la santé n'est pas invalidante non plus. b. Le recourant conteste la valeur probante dudit rapport. La Cour de céans constate toutefois que, sur la forme, ce rapport est fondé sur un examen du recourant, un entretien avec la psychiatre traitante, une analyse du dossier, et comprend une anamnèse, une description de la vie quotidienne du recourant, ainsi que les plaintes de celui-ci. On rappellera que la durée de l'entretien entre l'expert et l'assuré n'est pas un critère reconnu par la jurisprudence pour avoir une influence déterminante sur la qualité et la valeur probante d'un rapport d'expertise (arrêt du Tribunal fédéral I 719/06 du 4 juillet 2007 consid. 2.2). Sur le fond, l'expert a retenu, en fonction des éléments cliniques qu'il a mis en évidence, une dysthymie mais en a nié le caractère incapacitant. L'expert a de plus expliqué les motifs pour lesquels il excluait le diagnostic de syndrome douloureux somatoforme persistant et de trouble anxieux spécifique.</w:t>
      </w:r>
    </w:p>
    <w:p>
      <w:r>
        <w:rPr>
          <w:b/>
        </w:rPr>
        <w:t>E. 15</w:t>
      </w:r>
    </w:p>
    <w:p>
      <w:r>
        <w:t>mai 2019, p. 35-36), et lors de l'expertise, il pesait 66,6 kg pour une taille de 166,5 cm, correspondant à un IMC (Indice de masse corporelle) de 24, ce qui se situait dans les limites normales (p. 40). Dans les constatations objectives, l'expert n'a relevé de diminution ni de l'attention, ni de la concentration (p. 40). Les tests psychologiques complémentaires réalisés n'ont pas mis en exergue une altération des fonctions cognitives (p. 42). L'expert n'a</w:t>
      </w:r>
    </w:p>
    <w:p>
      <w:r>
        <w:rPr>
          <w:b/>
        </w:rPr>
        <w:t>E. 16</w:t>
      </w:r>
    </w:p>
    <w:p>
      <w:r>
        <w:t>/ 20 ______________________________________________________________________</w:t>
      </w:r>
    </w:p>
    <w:p>
      <w:r>
        <w:t>A/2502/2019 pas non plus constaté une humeur dépressive, des pleurs, ou une fatigue (p. 40). La motricité (démarche, vivacité, mouvements spontanés, mobilité visage) ainsi que la voix (volume, intonation) étaient par ailleurs dans les normes (p. 40). L'expert en a conclu que les signes objectifs du syndrome de la dépression au sens de la CIM-10 étaient absents (p. 43) et que les symptômes dont le recourant se plaignait (baisse de l'humeur, de la motivation, de l'énergie, de la libido, du sommeil et de la concentration) correspondaient à un syndrome dépressif subjectif, soit une dysthymie, qui n'atteignait cependant pas la gravité d'un épisode dépressif au sens de la CIM-10. Il s’avère donc qu’en l’absence des trois symptômes « typiques » de la dépression ainsi que des quatre « autres symptômes » au moins, c’est à juste titre que l’expert n’a pas retenu un épisode dépressif sévère. Au demeurant, la psychiatre traitante a affirmé lors de l’audience d’enquêtes qu’elle n’avait pas effectué de tests spécifiques, à l’inverse de l’expert, pour déterminer si son patient souffrirait de troubles cognitifs. Elle a uniquement pu observer une fatigabilité importante lors des consultations. Dans ses rapports, elle n’a pas fait état d’une diminution de la concentration et/ou de l’attention. Au vu des déclarations du recourant rapportées ci-dessus, celui-ci n’a pas présenté non plus une diminution de l'estime de soi/confiance en soi, ni des idées de culpabilité/dévalorisation, ni des idées/actes auto-agressifs ou suicidaires. Ainsi, la présence seulement de trois « autres symptômes » de la dépression (attitude morose/pessimiste face à l'avenir, perturbation du sommeil, diminution de l'appétit) − que mentionne la Dresse C______ dans son rapport du 20 novembre 2014 − laisse à supposer que le recourant ne souffrait pas non plus d’un état dépressif sévère à l’époque. Par ailleurs, les rapports de la Dresse C______ montrent que certains facteurs psychosociaux et socioculturels ont joué un rôle dans l'apparition et le maintien de la maladie. En effet, elle a mis en évidence que le recourant était profondément blessé dans son narcissisme par suite d’ambitions déçues : il avait fréquenté l’Université mais n’avait pas pu se réaliser dans une profession à la hauteur de ses compétences ; il avait exercé diverses activités à la satisfaction de ses employeurs mais était dorénavant aidé par le service social. Il était également très inquiet pour sa mère âgée. Or, lorsque les symptômes psychiques trouvent leur explication dans les facteurs psychosociaux, ils ne sont pas susceptibles d'entraîner une incapacité de gain au sens de la LAI. c. Cela étant constaté, il y a lieu de déterminer si l’application de la nouvelle jurisprudence du Tribunal fédéral (ATF 143 V 409, ATF 143 V 418, ATF 141 V 281) au cas d’espèce permet effectivement de nier le caractère invalidant du diagnostic de dysthymie. S'agissant du « succès du traitement et de la réadaptation », l’examen sanguin effectué lors de l'expertise a révélé que le taux sanguin mesuré était à la limite inférieure admise pour un traitement efficace de la dépression (cf. rapport du</w:t>
      </w:r>
    </w:p>
    <w:p>
      <w:r>
        <w:rPr>
          <w:b/>
        </w:rPr>
        <w:t>E. 17</w:t>
      </w:r>
    </w:p>
    <w:p>
      <w:r>
        <w:t>/ 20 ______________________________________________________________________</w:t>
      </w:r>
    </w:p>
    <w:p>
      <w:r>
        <w:t>A/2502/2019 15 mai 2019, p. 42 et 44), ce qui permet de douter de la prise correcte des médicaments. L'expert a recommandé la poursuite du traitement antidépresseur, qui est adéquat, à condition que le taux sanguin soit suffisant. Il a toutefois invité les médecins traitants à se concerter pour la prescription médicamenteuse, car plusieurs médicaments que prend le recourant, notamment pour le cœur (le Concor), entraînent un effet indésirable possible comme la fatigue, soit un symptôme dont celui-ci se plaint. Force est de constater que la dysthymie peut encore être traitée médicalement. S'agissant de la « comorbidité », si le recourant présente également des troubles somatiques concomitants (lombosciatalgies, lésion du ménisque interne, trouble du rythme cardiaque), encore faut-il examiner si l'interaction de ces troubles ayant valeur de maladie prive l'assuré de certaines ressources (arrêt du Tribunal fédéral 9C_756/2018 du 17 avril 2019 consid. 5.2.3). Tel n'est toutefois pas le cas en l'occurrence. Les lomobosciatalgies ne sont en effet pas invalidantes (cf. ATAS/1069/2014, entré en force). L'IRM du dos du 3 février 2011 − que le recourant a jointe à sa nouvelle demande de prestations − avait déjà été prise en compte par le Dr B______ (cf. son rapport d'expertise, p. 12). Or, depuis lors, aucun médecin traitant n’a fait état d’éléments objectivement vérifiables, de nature clinique ou diagnostique, qui seraient différents de ceux déjà relevés par le Dr B______. Quant à la lésion du ménisque interne et au trouble du rythme cardiaque, aucun médecin traitant n'a indiqué que ces atteintes étaient incapacitantes. Les troubles somatiques n’empêchent donc pas la pratique d’une activité adaptée. On relèvera au passage que, contrairement à ce que semble croire le recourant, l’expert, en sa qualité de spécialiste en psychiatrie, n’était pas tenu d’analyser l’influence éventuelle des atteintes somatiques sur l’état psychique du recourant. Son expertise ne pouvait donc porter que sur l’aspect psychiatrique, comme il l’a du reste souligné. S’il a certes indiqué que l’interaction éventuelle des atteintes somatiques (appareils locomoteurs et cardiovasculaire) et psychiques relevait d’une discussion multidisciplinaire, en revanche – pour les motifs exposés au paragraphe précédent – les troubles somatiques du recourant ne nécessitaient pas la mise en œuvre d’une expertise bi- ou pluridisciplinaire. C’est donc à juste titre que l’intimé avait limité l’expertise au volet psychiatrique. S'agissant du complexe de « la personnalité », ni la psychiatre traitante ni l'expert ne retiennent un trouble spécifique de la personnalité au sens d'une classification diagnostique reconnue (cf. rapport d'expertise du 15 mai 2019, p. 42-44). Pour ce qui est du « contexte social », le recourant a du plaisir à voir son fils (les week-ends et les mercredis ; cf. rapport précité, p. 42) et à se rendre chaque été auprès de sa famille (mère et quatre frères et sœurs) en Algérie avec laquelle il garde des liens téléphoniques (p. 38). Il fréquente régulièrement la mosquée, ce qui lui apporte un réconfort moral (p. 39). Il n’a certes pas un réseau social à Genève, mais cela semble relever d’un choix personnel, car le recourant a affirmé éviter « le</w:t>
      </w:r>
    </w:p>
    <w:p>
      <w:r>
        <w:rPr>
          <w:b/>
        </w:rPr>
        <w:t>E. 18</w:t>
      </w:r>
    </w:p>
    <w:p>
      <w:r>
        <w:t>/ 20 ______________________________________________________________________</w:t>
      </w:r>
    </w:p>
    <w:p>
      <w:r>
        <w:t>A/2502/2019 monde » pour ne pas « s’énerver avec les gens » (p. 39). Il reconnaît qu’il est nerveux et impatient, et craint de faire du mal à quelqu’un malgré lui, raison pour laquelle il « reste en retrait » (p. 36). Ce ne sont donc ni la dysthymie ni les troubles somatiques qui entraînent une incidence négative sur les relations interpersonnelles du recourant. En ce qui concerne la catégorie « cohérence », les atteintes à la santé ne limitent pas le recourant dans l’exécution de ses travaux habituels, puisqu’il est autonome dans les fonctions de la vie quotidienne. En effet, il prépare ses repas (p. 40), fait ses commissions, entretient son logement, et gère les tâches ménagères et administratives (p. 39). Son hygiène personnelle est respectée (p. 40). L’expert a constaté un écart notable entre les limitations perçues par le recourant et celles découlant des constatations cliniques objectives (p. 46). Ces éléments tendent à démontrer que les symptômes et limitations invoqués par le recourant ne sont pas uniformes dans tous les domaines de la vie. En définitive, ces indicateurs ne permettent pas de conclure à un degré de gravité fonctionnelle suffisant pour justifier d'un point de vue juridique le caractère invalidant de la dysthymie. d. Dès lors que le recourant dispose d’une capacité de travail entière dans toute activité sur le plan psychiatrique et n’est donc pas invalide, il n’est guère pertinent d’examiner s’il a atteint un âge avancé, ni si un abattement devrait être appliqué. e. Enfin, quand bien même l’expert a relevé que le recourant a pu souffrir d’un véritable épisode dépressif en 2013 et en 2014 lorsqu’il a appris que sa sœur, respectivement son frère étaient décédés en Algérie, celui-ci n’aurait de toute manière pas le droit à une rente (rétroactive) pour ce motif, puisque la nouvelle demande de prestations a été déposée le 21 mai 2015. Aussi un droit à une éventuelle rente d'invalidité n’aurait-il pu naître qu'en novembre 2015 (art. 29 al. 1 LAI et ch. 2030 de la circulaire sur l'invalidité et l'impotence dans l'assurance- invalidité), soit dix-neuf mois après le décès du frère survenu en avril 2014. On peut de surcroît difficilement admettre que le deuil familial, bien qu’il soit très douloureux, puisse en tant que facteur psychosocial entraîner une atteinte à la santé à caractère invalidant au sens de la LAI (cf. ATAS/898/2017 du 16 octobre 2017 consid. 11.c). 13. Au vu de ce qui précède, la mise sur pied d’une expertise judiciaire bi-disciplinaire (psychiatrie et rhumatologie), sollicitée par le recourant, est, par appréciation anticipée des preuves (ATF 122 II 464 consid. 4a; ATF 122 III 219 consid. 3c), inutile, de sorte que la Chambre de céans n'y donnera pas suite. Mal fondé, le recours ne peut qu’être rejeté. Bien que la procédure ne soit pas gratuite en matière d'assurance-invalidité (art. 69 al. 1bis LAI), il convient de renoncer à la perception d'un émolument, le recourant étant au bénéfice de l'assistance juridique (art. 13 al. 1 du règlement sur</w:t>
      </w:r>
    </w:p>
    <w:p>
      <w:r>
        <w:rPr>
          <w:b/>
        </w:rPr>
        <w:t>E. 19</w:t>
      </w:r>
    </w:p>
    <w:p>
      <w:r>
        <w:t>/ 20 ______________________________________________________________________</w:t>
      </w:r>
    </w:p>
    <w:p>
      <w:r>
        <w:t>A/2502/2019 les frais, émoluments et indemnités en procédure administrative du 30 juillet 1986 [RFPA - E 5 10.03]).</w:t>
      </w:r>
    </w:p>
    <w:p>
      <w:r>
        <w:rPr>
          <w:b/>
        </w:rPr>
        <w:t>E. 20</w:t>
      </w:r>
    </w:p>
    <w:p>
      <w:r>
        <w:t>/ 20 ______________________________________________________________________</w:t>
      </w:r>
    </w:p>
    <w:p>
      <w:r>
        <w:t>A/2502/2019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