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ATAS/334/2017 vom 26. April 2017</w:t>
      </w:r>
    </w:p>
    <w:p>
      <w:r>
        <w:t>GE Cour de justice, 2017-04-26, FR</w:t>
      </w:r>
    </w:p>
    <w:p>
      <w:r>
        <w:rPr>
          <w:b/>
        </w:rPr>
        <w:t xml:space="preserve">Quelle: </w:t>
      </w:r>
      <w:r>
        <w:t>https://mcp.opencaselaw.ch/entscheid/ge_gerichte_ATAS_334_2017</w:t>
      </w:r>
    </w:p>
    <w:p>
      <w:r>
        <w:t>FR: GE_GERICHTE ATAS/334/2017 du 26 avril 2017</w:t>
      </w:r>
    </w:p>
    <w:p>
      <w:r>
        <w:t>IT: GE_GERICHTE ATAS/334/2017 del 26 aprile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A/3803/2016 - 4/8 -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douze jours du droit à l'indemnité du recourant à compter du 21 juillet 2016.</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w:t>
      </w:r>
    </w:p>
    <w:p>
      <w:r>
        <w:t>A/3803/2016 - 5/8 -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Boris RUBIN, Commentaire de la loi sur l'assurance-chômage, 2014, n° 9 s. ad art. 17 LACI, p. 198 s., Thomas NUSSBAUMER, Arbeitslosenversicherung, in Soziale Sicherheit, SBVR vol. XIV, 3ème éd. 2016, n° 843 p. 2517).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w:t>
      </w:r>
    </w:p>
    <w:p>
      <w:r>
        <w:t>A/3803/2016 - 6/8 -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w:t>
      </w:r>
    </w:p>
    <w:p>
      <w:r>
        <w:rPr>
          <w:b/>
        </w:rPr>
        <w:t>E. 6</w:t>
      </w:r>
    </w:p>
    <w:p>
      <w:r>
        <w:t>En l’espèce, il est établi que le recourant a été licencié le 11 février 2016 pour le 19 févier 2016, dans le délai de sept jours pour la fin d’une semaine de travail et qu’il s’est réinscrit au chômage le 21 juillet 2016. Il lui incombait ainsi de rechercher du travail durant la période précédant sa réinscription. Selon les pièces du dossier, le recourant n’a pas effectué de recherches d’emploi avant le mois de juin 2016. En juin et juillet 2016, il en a effectué dix par mois. Il ressort toutefois du formulaire de recherches d’emplois du mois de juillet 2016 qu’au minimum cinq recherches sont absolument identiques à celles du mois de juin 2016. En outre, le recourant postule uniquement auprès des banques. Le recourant allègue être tombé en grave dépression après son licenciement et qu’il s’était laissé vivre à ne rien faire. Lorsque sa famille a appris sa situation, il est allé consulter un médecin et, petit à petit, s’est ressaisi et remis d’aplomb pour affronter cet échec et retrouver un emploi. Le recourant n’a toutefois produit aucun certificat médical à l’appui de ses allégués, malgré le délai imparti par la chambre de céans. Par conséquent, il ne peut être retenu qu’il a été empêché de faire des recherches durant la période précédant sa réinscription en raison de son état de santé.</w:t>
      </w:r>
    </w:p>
    <w:p>
      <w:r>
        <w:t>A/3803/2016 - 7/8 - Au vu de ce qui précède, l’intimé était fondé à retenir des recherches insuffisantes en quantité et en qualité durant la période considérée et à prononcer une sanction. Pour le surplus, en prononçant une suspension de 12 jours du droit à l’indemnité de chômage, l’intimé a respecté le principe de proportionnalité, s’agissant en effet d’une quatrième sanction.</w:t>
      </w:r>
    </w:p>
    <w:p>
      <w:r>
        <w:rPr>
          <w:b/>
        </w:rPr>
        <w:t>E. 7</w:t>
      </w:r>
    </w:p>
    <w:p>
      <w:r>
        <w:t>Mal fondé, le recours doit être rejeté.</w:t>
      </w:r>
    </w:p>
    <w:p>
      <w:r>
        <w:rPr>
          <w:b/>
        </w:rPr>
        <w:t>E. 8</w:t>
      </w:r>
    </w:p>
    <w:p>
      <w:r>
        <w:t>La procédure est gratuite.</w:t>
      </w:r>
    </w:p>
    <w:p>
      <w:r>
        <w:t>A/3803/2016 - 8/8 -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