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ATAS/334/2016 vom 28. April 2016</w:t>
      </w:r>
    </w:p>
    <w:p>
      <w:r>
        <w:t>GE Cour de justice, 2016-04-28, FR</w:t>
      </w:r>
    </w:p>
    <w:p>
      <w:r>
        <w:rPr>
          <w:b/>
        </w:rPr>
        <w:t xml:space="preserve">Quelle: </w:t>
      </w:r>
      <w:r>
        <w:t>https://mcp.opencaselaw.ch/entscheid/ge_gerichte_ATAS_334_2016</w:t>
      </w:r>
    </w:p>
    <w:p>
      <w:r>
        <w:t>FR: GE_GERICHTE ATAS/334/2016 du 28 avril 2016</w:t>
      </w:r>
    </w:p>
    <w:p>
      <w:r>
        <w:t>IT: GE_GERICHTE ATAS/334/2016 del 28 aprile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 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 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w:t>
      </w:r>
    </w:p>
    <w:p>
      <w:r>
        <w:t>A/1614/2015 - 8/12 - cables les règles de droit en vigueur au moment où les faits juridiquement détermi- nants se sont produits (ATF 129 V 1 consid. 1; ATF 127 V 467 consid. 1 et les ré- férences). En ce qui concerne en revanche la procédure, et à défaut de règles transi- toires contraires, le nouveau droit s'applique sans réserve dès le jour de son entrée en vigueur (ATF 117 V 93 consid. 6b; ATF 112 V 360 consid. 4a; RAMA 1998 KV 37 p. 316 consid. 3b). En l'espèce, la décision litigieuse du 15 avril 2015 est postérieure à l'entrée en vi- gueur des modifications de la LAI suscitées. Par conséquent, du point de vue maté- riel, le droit éventuel à des prestations d'invalidité doit être examiné au regard des modifications de la LAI consécutives aux 4ème, 5ème et 6ème révisions de cette loi, dans la mesure de leur pertinence (ATF 130 V 445 et les références; voir éga- lement ATF 130 V 329). Cela étant, ces novelles n'ont pas amené de modifications substantielles en matière d'évaluation de l'invalidité (arrêt du Tribunal fédéral des assurances I.249/05 du 11 juillet 2006 consid. 2.1 et Message concernant la modifi- cation de la loi fédérale sur l'assurance-invalidité du 22 juin 2005, FF 2005 p. 4322).</w:t>
      </w:r>
    </w:p>
    <w:p>
      <w:r>
        <w:rPr>
          <w:b/>
        </w:rPr>
        <w:t>E. 3</w:t>
      </w:r>
    </w:p>
    <w:p>
      <w:r>
        <w:t>Interjeté dans les forme et délai légaux (art. 56 à 60 LPGA), le recours est rece- vable.</w:t>
      </w:r>
    </w:p>
    <w:p>
      <w:r>
        <w:rPr>
          <w:b/>
        </w:rPr>
        <w:t>E. 4</w:t>
      </w:r>
    </w:p>
    <w:p>
      <w:r>
        <w:t>Le litige a pour objet le droit de la recourante au maintien d’une rente d’invalidité, plus particulièrement la question de savoir si son état de santé s’est amélioré depuis l’octroi initial d’une rente entière, en mars 2003 - confirmé en octobre 2005.</w:t>
      </w:r>
    </w:p>
    <w:p>
      <w:r>
        <w:rPr>
          <w:b/>
        </w:rPr>
        <w:t>E. 5</w:t>
      </w:r>
    </w:p>
    <w:p>
      <w:r>
        <w:t>Selon la jurisprudence, aussi bien dans le cadre d'une nouvelle demande au sens de l'art. 87 al. 3 RAI (ATF 130 V 71 consid. 3.2.3) que dans celui d'une révision d'une rente au sens de l'art. 17 LGPA (ATF 133 V 108 consid. 5), c'est la dernière déci- 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w:t>
      </w:r>
    </w:p>
    <w:p>
      <w:r>
        <w:rPr>
          <w:b/>
        </w:rPr>
        <w:t>E. 6</w:t>
      </w:r>
    </w:p>
    <w:p>
      <w:r>
        <w:t>Est réputée invalidité, l'incapacité de gain totale ou partielle présumée permanente ou de longue durée, résultant d'une infirmité congénitale, d'une maladie ou d'un ac- cident (art. 8 al. 1 LPGA et 4 al. 1 LAI). Selon l’art. 7 LPGA, est réputée incapacité de gain toute diminution de l'ensemble ou d'une partie des possibilités de gain de l'assuré sur le marché du travail équilibré qui entre en considération, si cette dimi- nution résulte d'une atteinte à la santé physique ou mentale et qu'elle persiste après les traitements et les mesures de réadaptation exigibles (al 1). Seules les consé-</w:t>
      </w:r>
    </w:p>
    <w:p>
      <w:r>
        <w:t>A/1614/2015 - 9/12 - 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 traîne une incapacité de travail ayant des effets sur la capacité de gain de l’assuré (arrêt du Tribunal fédéral des assurances I.654/00 du 9 avril 2001 consid. 1).</w:t>
      </w:r>
    </w:p>
    <w:p>
      <w:r>
        <w:rPr>
          <w:b/>
        </w:rPr>
        <w:t>E. 7</w:t>
      </w:r>
    </w:p>
    <w:p>
      <w:r>
        <w:t>Les atteintes à la santé psychique peuvent, comme les atteintes physiques, entraîner une invalidité au sens de l'art. 4 al. 1 LAI en liaison avec l'art. 8 LPGA. On ne con- 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 sible (ATF 102 V 165; arrêt du Tribunal fédéral des assurances I.786/04 du 19 jan- vier 2006 consid. 3.1). Dans l'éventualité où des troubles psychiques ayant valeur de maladie sont admis, il y a alors lieu d'évaluer le caractère exigible de la reprise d'une activité lucrative par l'assuré, au besoin moyennant un traitement thérapeutique. A cet effet, il faut exa- 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 rait même insupportable pour la société (ATF 127 V 294 consid. 4c; ATF 102 V 165; VSI 2001 p. 224 consid. 2b et les références).</w:t>
      </w:r>
    </w:p>
    <w:p>
      <w:r>
        <w:rPr>
          <w:b/>
        </w:rPr>
        <w:t>E. 8</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 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 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w:t>
      </w:r>
    </w:p>
    <w:p>
      <w:r>
        <w:t>A/1614/2015 - 10/12 - lent pas probantes (ATF 137 V 210 consid. 4.4.1.3). Cela étant, un renvoi à l'admi- nistration pour mise en œuvre d'une nouvelle expertise reste possible, même sous l'empire de la nouvelle jurisprudence, notamment lorsqu'une telle mesure est néces- saire en raison du fait que l'administration n'a pas du tout instruit un point médical (ATF 137 V 210 consid. 4.4.1.4).</w:t>
      </w:r>
    </w:p>
    <w:p>
      <w:r>
        <w:rPr>
          <w:b/>
        </w:rPr>
        <w:t>E. 9</w:t>
      </w:r>
    </w:p>
    <w:p>
      <w:r>
        <w:t>Enfin, le juge des assurances sociales fonde sa décision, sauf dispositions contraires de la loi, sur les faits qui, faute d’être établis de manière irréfutable, apparaissent comme les plus vraisemblables, c’est-à-dire qui présentent un degré de vraisem- blance prépondérante. Il ne suffit donc pas qu’un fait puisse être considéré seule- 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a. En l'espèce, il convient d'examiner si la situation de la recourante a subi un chan- gement important propre à influencer son degré d'invalidité, et donc son droit aux prestations, depuis 2005, date à laquelle l’intimé a confirmé son droit à une rente d’invalidité. Il convient de rappeler que le droit à une rente d’invalidité a été reconnu à l’assurée exclusivement en raison de l’état dépressif récurrent moyen et du trouble de la per- sonnalité psychotique diagnostiqués par la Dresse F______. En effet, aucune at- teinte somatique sérieuse n’avait été objectivée : l’examen neurologique n’avait ré- vélé aucune atteinte de type radiculaire (cf. rapport du Dr C______ du 10 décembre 2000), les radiographies lombaires et cervicales n’avaient pas montré de trouble dé- génératif majeur (cf. rapport du Dr C______, rapport du Dr D______ du 17 juillet 2000 et rapport du Dr E______ du 3 mai 2001). L’absence d’atteinte somatique invalidante a été confirmée par l’expertise pluridis- ciplinaire du 28 mars 2014 effectuée dans le cadre de la révision : les experts n’ont constaté que des troubles banals et, s’agissant plus particulièrement de la capsulite rétractile invoquée par l’assurée, ont constaté que la guérison avait été presque par- faite en mars 2013 déjà (cf. également le rapport des HUG du 7 mars 2013). Quant au diabète, il a été jugé non invalidant. Sur le plan psychique ayant seul justifié l’octroi de la rente initiale, l’expert psy- chiatre appelé à se prononcer dans le cadre de la révision initiée fin 2012 a constaté que ses constatations objectives étaient fort éloignées de celles de la Dresse F______. Lui-même n’a plus pu retenir le moindre diagnostic psychique invalidant. Il a certes admis la possibilité d’un trouble de l’adaptation, suite à l’annonce de la suppression de rente mais de gravité insuffisante pour influencer la capacité de tra- vail.</w:t>
      </w:r>
    </w:p>
    <w:p>
      <w:r>
        <w:t>A/1614/2015 - 11/12 - La Cour de céans constate que l’évaluation du Dr G______ se fonde sur une docu- mentation complète et des diagnostics précis, qu’elle comporte une discussion con- vaincante de la situation et qu’elle apporte des réponses exhaustives et sans équi- voque aux questions posées. Elle est par ailleurs complète quant aux faits retenus, à ses conclusions et aux réponses aux questions posées. Le fait que l’expert admette ne pouvoir se prononcer précisément sur le moment auquel l’amélioration est inter- venue ne fait qu’apporter du crédit à son analyse puisqu’il se refuse à extrapoler, préférant se prononcer sur ses seules observations objectives. Quant au rapport de la Dresse H______, il ne permet pas d’infirmer les observa- tions de l’expert. Ce médecin se contente en effet, pour l’essentiel, de se faire l’écho des plaintes de sa patiente et n’apporte aucun élément objectif de nature à faire douter des conclusions de l’expert, qui, malgré un examen complémentaire, a confirmé les siennes à l’issue d’une discussion convaincante. Certes, la Dresse H______ évalue la capacité de sa patiente à 0%, mais sans motiver aucune- ment sa position. Il en découle qu’on ne saurait reprocher à l’intimé d’avoir considéré, à l’instar de l’expert psychiatre, que l’état de l’assurée s’était amélioré au point de lui permettre de recouvrer une capacité de travail de 100%. Dans la mesure où aucune limitation fonctionnelle n’est retenue, que ce soit au plan physique ou psychique, le degré de capacité de travail se confond avec celui de ca- pacité de gain. Il en découle que c’est à juste titre que l’intimé a mis un terme au versement de la rente allouée jusqu’alors à la recourante. Eu égard aux considérations qui précèdent, le recours est rejeté.</w:t>
      </w:r>
    </w:p>
    <w:p>
      <w:r>
        <w:t>A/1614/2015 - 12/12 -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