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ATAS/334/2011 vom 30. März 2011</w:t>
      </w:r>
    </w:p>
    <w:p>
      <w:r>
        <w:t>GE Cour de justice, 2011-03-30, FR</w:t>
      </w:r>
    </w:p>
    <w:p>
      <w:r>
        <w:rPr>
          <w:b/>
        </w:rPr>
        <w:t xml:space="preserve">Quelle: </w:t>
      </w:r>
      <w:r>
        <w:t>https://mcp.opencaselaw.ch/entscheid/ge_gerichte_ATAS_334_2011</w:t>
      </w:r>
    </w:p>
    <w:p>
      <w:r>
        <w:t>FR: GE_GERICHTE ATAS/334/2011 du 30 mars 2011</w:t>
      </w:r>
    </w:p>
    <w:p>
      <w:r>
        <w:t>IT: GE_GERICHTE ATAS/334/2011 del 30 marzo 2011</w:t>
      </w:r>
    </w:p>
    <w:p>
      <w:pPr>
        <w:pStyle w:val="Heading2"/>
      </w:pPr>
      <w:r>
        <w:t>Erwägungen</w:t>
      </w:r>
    </w:p>
    <w:p>
      <w:r>
        <w:rPr>
          <w:b/>
        </w:rPr>
        <w:t>E. 1</w:t>
      </w:r>
    </w:p>
    <w:p>
      <w:r>
        <w:t>Admet le recours et annule la décision du 30 juin 2009.</w:t>
      </w:r>
    </w:p>
    <w:p>
      <w:r>
        <w:rPr>
          <w:b/>
        </w:rPr>
        <w:t>E. 2</w:t>
      </w:r>
    </w:p>
    <w:p>
      <w:r>
        <w:t>Dit que la recourante a droit à une rente entière d’invalidité dès le 1er avril 2010.</w:t>
      </w:r>
    </w:p>
    <w:p>
      <w:r>
        <w:rPr>
          <w:b/>
        </w:rPr>
        <w:t>E. 3</w:t>
      </w:r>
    </w:p>
    <w:p>
      <w:r>
        <w:t>Condamne l’intimé au paiement d’un émolument de 1'000 fr.</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