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ATAS/334/2008 vom 18. März 2008</w:t>
      </w:r>
    </w:p>
    <w:p>
      <w:r>
        <w:t>GE Cour de justice, 2008-03-18, FR</w:t>
      </w:r>
    </w:p>
    <w:p>
      <w:r>
        <w:rPr>
          <w:b/>
        </w:rPr>
        <w:t xml:space="preserve">Quelle: </w:t>
      </w:r>
      <w:r>
        <w:t>https://mcp.opencaselaw.ch/entscheid/ge_gerichte_ATAS_334_2008</w:t>
      </w:r>
    </w:p>
    <w:p>
      <w:r>
        <w:t>FR: GE_GERICHTE ATAS/334/2008 du 18 mars 2008</w:t>
      </w:r>
    </w:p>
    <w:p>
      <w:r>
        <w:t>IT: GE_GERICHTE ATAS/334/2008 del 18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26 juin 2007 et statuant sur un état de fait juridiquement déterminant remontant à l'année 2002,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2</w:t>
      </w:r>
    </w:p>
    <w:p>
      <w:r>
        <w:t>En ce qui concerne la procédure et à défaut de règles transitoires contraires, la LPGA et son ordonnance d'application s'appliquent sans réserve dès le jour de leur entrée en vigueur (ATF 117 V 93 consid. 6b; 112 V 360 consid. 4a; RAMA 1998 KV 37 p. 316 consid. 3b).</w:t>
      </w:r>
    </w:p>
    <w:p>
      <w:r>
        <w:t>A/3272/2007 - 7/14 - Déposé dans les forme et délai prévus par la loi, le présent recours est recevable (art. 60 LPGA).</w:t>
      </w:r>
    </w:p>
    <w:p>
      <w:r>
        <w:rPr>
          <w:b/>
        </w:rPr>
        <w:t>E. 3</w:t>
      </w:r>
    </w:p>
    <w:p>
      <w:r>
        <w:t>L'objet du litige porte sur le droit de l'assuré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L'incapacité de gain est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rPr>
          <w:b/>
        </w:rPr>
        <w:t>E. 5</w:t>
      </w:r>
    </w:p>
    <w:p>
      <w:r>
        <w:t>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w:t>
      </w:r>
    </w:p>
    <w:p>
      <w:r>
        <w:t>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w:t>
      </w:r>
    </w:p>
    <w:p>
      <w:r>
        <w:t>A/3272/2007 - 8/14 -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En ce qui concerne la coordination des taux d'invalidité entre les différentes branches de l'assurance sociale (ATF 126 V 288), l'assurance-invalidité n'est pas liée par l'évaluation à laquelle a procédé la SUVA, lorsque l'assuré souffre d'affections d'origine maladive qui n'engagent pas la responsabilité de cet assureur- accidents.</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7</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w:t>
      </w:r>
    </w:p>
    <w:p>
      <w:r>
        <w:t>A/3272/2007 - 9/14 -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8</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9</w:t>
      </w:r>
    </w:p>
    <w:p>
      <w:r>
        <w:t>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10</w:t>
      </w:r>
    </w:p>
    <w:p>
      <w:r>
        <w:t>En l'espèce, la SUVA a considéré que l'assuré présentait une capacité de travail de 50% comme nettoyeur dans le cadre d'une activité aménagée depuis mars 2003 et de 100% comme nettoyeur depuis avril 2003 (cf. rapport de la CRR du 21 mars 2003). Elle lui a reconnu le droit à une rente d'invalidité de 30%.</w:t>
      </w:r>
    </w:p>
    <w:p>
      <w:r>
        <w:t>A/3272/2007 - 10/14 - La Dresse L__________ admettait à la même époque la possibilité pour son patient de reprendre une activité adaptée à son état de santé, tout en prévoyant une certaine diminution de rendement (cf. rapport du 11 avril 2003). Constatant une amélioration depuis mars 2004, le médecin traitant a encouragé l'assuré à reprendre une activité. Celui-ci a effectivement travaillé comme nettoyeur sans port de charges lourdes à 50% dès le 11 mai 2004, à 70% dès le 20 septembre 2004 et comme nettoyeur sans restrictions particulières à 100% dès le 25 octobre 2004. La Dresse L__________ et le Dr N__________ ont toutefois signalé la survenue d'une aggravation de l'état de santé de l'assuré, à telle enseigne que le temps de travail a été réduit de moitié dès le 25 avril 2005 (cf. rapports des 20 mai et 27 juin 2005). L'OCAI s'est fondé sur l'examen bi-disciplinaire réalisé par les Drs O__________ et P__________ le 17 mars 2006 pour retenir une capacité de travail exigible dans l'activité habituelle à 50% et dans une activité adaptée à 100%. Le Tribunal de céans constate que le rapport des médecins du SMR se fonde sur un examen complet et prend en considération les plaintes exprimées par l'assuré. Il a été établi en pleine connaissance de l'anamnèse, la description du contexte médical et l'appréciation de la situation médicale sont claires et enfin les conclusions des deux médecins sont dûment motivées. Il doit dès lors se voir reconnaître une pleine valeur probante.</w:t>
      </w:r>
    </w:p>
    <w:p>
      <w:r>
        <w:rPr>
          <w:b/>
        </w:rPr>
        <w:t>E. 11</w:t>
      </w:r>
    </w:p>
    <w:p>
      <w:r>
        <w:t>L'assuré conteste les conclusions de ce rapport, rappelant que selon ses médecins traitants, son incapacité de travail est évaluée à 50% dans une activité aménagée en fonction de ses limitations. Il s'agit dès lors d'examiner si les conclusions de ces médecins sont de nature à mettre en doute celles des Drs O__________ et P__________.</w:t>
      </w:r>
    </w:p>
    <w:p>
      <w:r>
        <w:rPr>
          <w:b/>
        </w:rPr>
        <w:t>E. 12</w:t>
      </w:r>
    </w:p>
    <w:p>
      <w:r>
        <w:t>Il y a lieu de constater que la Dresse L__________ se fonde sur les plaintes de l'assuré pour évaluer son incapacité de travail à 50%. Or, de la description faite par l'assuré lui-même de son travail de nettoyeur aux HUG, il résulte que rien ne l'empêcherait d'exercer son activité à plein temps, pour autant que l'on tienne compte de ses limitations, ainsi que l'ont retenu les Drs O__________ et P__________. Il va de soi que cette activité ne pourra vraisemblablement pas s'exercer dans le cadre du service dans lequel il travaillait depuis de longues années, ce qu'il aurait naturellement préféré. L'AI ne peut cependant pas en tenir compte. Il y a à cet égard lieu d'attirer l'attention de l'assuré sur le fait que sur demande auprès de l'AI, une orientation, un reclassement ou une aide au placement pourrait être envisagé.</w:t>
      </w:r>
    </w:p>
    <w:p>
      <w:r>
        <w:t>A/3272/2007 - 11/14 -</w:t>
      </w:r>
    </w:p>
    <w:p>
      <w:r>
        <w:rPr>
          <w:b/>
        </w:rPr>
        <w:t>E. 13</w:t>
      </w:r>
    </w:p>
    <w:p>
      <w:r>
        <w:t>L'assuré sollicite du Tribunal de céans qu'il ordonne une expertise rhumatologique. Il convient de rappeler à ce sujet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Le Tribunal de céans renoncera dès lors à ordonner une telle expertise.</w:t>
      </w:r>
    </w:p>
    <w:p>
      <w:r>
        <w:rPr>
          <w:b/>
        </w:rPr>
        <w:t>E. 14</w:t>
      </w:r>
    </w:p>
    <w:p>
      <w:r>
        <w:t>Reste à déterminer le degré d'invalidité.</w:t>
      </w:r>
    </w:p>
    <w:p>
      <w:r>
        <w:rPr>
          <w:b/>
        </w:rPr>
        <w:t>E. 15</w:t>
      </w:r>
    </w:p>
    <w:p>
      <w:r>
        <w:t>Aux termes de l’art. 28 al. 1 LAI, en vigueur depuis le 1er janvier 2004, l’assuré a droit à un quart de rente si le taux d'invalidité atteint 40% au moins, à une demi- 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A/3272/2007 - 12/14 -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16</w:t>
      </w:r>
    </w:p>
    <w:p>
      <w:r>
        <w:t>En l'espèce, le calcul auquel a procédé l'OCAI est conforme aux dispositions légales et réglementaires applicables, ainsi qu'à la jurisprudence du TFA. L'OCAI a à juste titre pris en considération les chiffres résultant de l'Enquête suisse sur la structure des salaires (ESS) 2003 pour établir le revenu avec invalidité.</w:t>
      </w:r>
    </w:p>
    <w:p>
      <w:r>
        <w:rPr>
          <w:b/>
        </w:rPr>
        <w:t>E. 17</w:t>
      </w:r>
    </w:p>
    <w:p>
      <w:r>
        <w:t>L'assuré conteste le taux d'abattement supplémentaire de 10% retenu par l'OCAI.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w:t>
      </w:r>
    </w:p>
    <w:p>
      <w:r>
        <w:t>A/3272/2007 - 13/14 -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le taux d'abattement pris en considération par l'OCAI de 10% n'est, au vu de ce qui précède, pas critiquable.</w:t>
      </w:r>
    </w:p>
    <w:p>
      <w:r>
        <w:t>A/3272/2007 - 14/14 -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