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ATAS/333/2020 vom 7. Mai 2020</w:t>
      </w:r>
    </w:p>
    <w:p>
      <w:r>
        <w:t>GE Cour de justice, 2020-05-07, FR</w:t>
      </w:r>
    </w:p>
    <w:p>
      <w:r>
        <w:rPr>
          <w:b/>
        </w:rPr>
        <w:t xml:space="preserve">Quelle: </w:t>
      </w:r>
      <w:r>
        <w:t>https://mcp.opencaselaw.ch/entscheid/ge_gerichte_ATAS_333_2020</w:t>
      </w:r>
    </w:p>
    <w:p>
      <w:r>
        <w:t>FR: GE_GERICHTE ATAS/333/2020 du 7 mai 2020</w:t>
      </w:r>
    </w:p>
    <w:p>
      <w:r>
        <w:t>IT: GE_GERICHTE ATAS/333/2020 del 7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compte tenu de la suspension des délais du 7e jour avant Pâques au 7e jour après Pâques inclusivement (art. 38 al. 4 let. a LPGA et art. 89C let. a de la de loi sur la procédure administrative du 12 septembre 1985 [LPA - E 5 10]), le recours est recevable (art. 56 ss LPGA et 62 ss LPA).</w:t>
      </w:r>
    </w:p>
    <w:p>
      <w:r>
        <w:rPr>
          <w:b/>
        </w:rPr>
        <w:t>E. 4</w:t>
      </w:r>
    </w:p>
    <w:p>
      <w:r>
        <w:t>Le litige porte sur la question de savoir si c’est à juste titre que l’intimé a octroyé à la recourante un quart de rente d'invalidité dès le 1er juillet 2015, étant précisé que, par décision du 26 septembre 2012, entrée en force, le droit à une rente lui avait été nié. Il s’agira d’examiner en particulier le degré d’invalidité dans la sphère ménagère.</w:t>
      </w:r>
    </w:p>
    <w:p>
      <w:r>
        <w:rPr>
          <w:b/>
        </w:rPr>
        <w:t>E. 5</w:t>
      </w:r>
    </w:p>
    <w:p>
      <w:r>
        <w:t>a. Lorsqu'une rente a déjà été refusée une première fois par une décision entrée en force, notamment parce que le degré d'invalidité était insuffisant, la nouvelle demande doit être examinée sous l'angle de l'art. 17 LPGA, qui régit la révision de la rente d'invalidité. L'art. 17 al. 1 LPGA dispose que si le taux d'invalidité du bénéficiaire de la rente subit une modification notable, la rente est, d'office ou sur demande, révisée pour l'avenir, à savoir augmentée ou réduite en conséquence, ou encore supprimée.</w:t>
      </w:r>
    </w:p>
    <w:p>
      <w:r>
        <w:t>A/1930/2019 - 7/19 -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w:t>
      </w:r>
    </w:p>
    <w:p>
      <w:r>
        <w:t>A/1930/2019 - 8/19 - consid. 4.5.1). En effet, celles-ci ne peuvent en principe être déterminées ou prouvées sur la base de critères objectifs que de manière limitée.</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 ATF 130 V 343 consid. 3.4). b.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A/1930/2019 - 9/19 -</w:t>
      </w:r>
    </w:p>
    <w:p>
      <w:r>
        <w:rPr>
          <w:b/>
        </w:rPr>
        <w:t>E. 10</w:t>
      </w:r>
    </w:p>
    <w:p>
      <w:r>
        <w:t>a.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Pour déterminer la méthode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w:t>
      </w:r>
    </w:p>
    <w:p>
      <w:r>
        <w:t>A/1930/2019 - 10/19 -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 ATF 137 V 334 consid. 3.2 ; ATF 125 V 146 consid. 2c ainsi que les références).</w:t>
      </w:r>
    </w:p>
    <w:p>
      <w:r>
        <w:rPr>
          <w:b/>
        </w:rPr>
        <w:t>E. 12</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[dont la teneur a été modifiée dès le 1er janvier 2018], ainsi que les art. 16 LPGA et 28a al. 2 LAI en corrélation avec les art. 27 RAI [dont la teneur a été modifiée dès le 1er janvier 2018]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w:t>
      </w:r>
    </w:p>
    <w:p>
      <w:r>
        <w:rPr>
          <w:b/>
        </w:rPr>
        <w:t>E. 13</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w:t>
      </w:r>
    </w:p>
    <w:p>
      <w:r>
        <w:t>A/1930/2019 - 11/19 -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w:t>
      </w:r>
    </w:p>
    <w:p>
      <w:r>
        <w:t>A/1930/2019 - 12/19 -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du 30 septembre 2015 consid. 3.3).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1er avril 2014 consid. 2.3).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A/1930/2019 - 13/19 -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16</w:t>
      </w:r>
    </w:p>
    <w:p>
      <w:r>
        <w:t>En l'espèce, il est rappelé que, dans le cadre de l'examen de la première demande de prestations déposée en 2009, l'intimé a retenu un statut mixte et a conclu, dans sa décision du 26 septembre 2012, que l'intéressée présentait une invalidité de 5% en raison de gonalgies bilatérales et de troubles statiques du rachis. L'intimé est entré en matière sur la nouvelle demande du 6 janvier 2015 et a admis qu'un changement notable des circonstances s'était produit depuis la décision précitée. De l’expertise réalisée par le Dr H______ le 5 juillet 2018, il est en effet ressorti que la recourante présente, depuis juillet 2014, une incapacité de travail totale dans toute activité en raison d’une neurasthénie et d’un dysfonctionnement neurovégétatif somatoforme entraînant de la fatigue, une irritabilité, une tendance au repli, des douleurs diffuses, des tremblements, des symptômes gastro- intestinaux, une vision pessimiste et résignée de son avenir et une tendance à la rupture des liens. Ce rapport d'expertise se fonde sur des examens complets, il a fait l'objet d'une étude circonstanciée des points litigieux et il décrit le contexte médical de façon claire et étayée. Ses résultats d'examens, convaincants et dépourvus de contradiction répondent dès lors aux réquisits jurisprudentiels pour se voir attribuer pleine valeur probante. Dans le cadre de son recours, la recourante fait valoir qu’en raison de ses problèmes de langue, la sphère psychique n’a pas été bien explorée et que d’autres troubles auraient dû être diagnostiqués, soit une dépression et un stress post-traumatique. On relèvera que dans son rapport, le Dr H______ a toutefois dûment relevé qu’il n’y avait pas d’argument en faveur d’un stress post-traumatique et que la dépression s’était améliorée, grâce au traitement, pour atteindre le niveau d’une</w:t>
      </w:r>
    </w:p>
    <w:p>
      <w:r>
        <w:t>A/1930/2019 - 14/19 - dysthymie. Quoi qu’il en soit, quand bien même la recourante présenterait effectivement d’autres atteintes psychiques que celles retenues par l’expert, il n’y aurait pas lieu d’instruire plus avant leurs éventuelles répercussions sur sa capacité de travail, dès lors que l’intimé admet l’existence d’une incapacité de travail totale dans toute activité en raison des troubles psychiques. Par ailleurs, si l’on peut certes déplorer que l’intimé ait omis de demander à l’expert précité d’examiner l’importance de la diminution du rendement fonctionnel de la recourante, alors qu’un statut mixte avec une part ménagère prépondérante a été retenu, il n’en demeure pas moins que le Dr H______ a tout de même indiqué que le tableau symptomatique engendrait une baisse de la capacité de la recourante à évoluer à domicile (p. 14 du rapport d’expertise), ce qui permet de retenir que les troubles psychiques dont elle souffre n’excluent pas tout rendement fonctionnel dans le ménage.</w:t>
      </w:r>
    </w:p>
    <w:p>
      <w:r>
        <w:rPr>
          <w:b/>
        </w:rPr>
        <w:t>E. 17</w:t>
      </w:r>
    </w:p>
    <w:p>
      <w:r>
        <w:t>a. Il convient à présent de procéder au calcul du degré d’invalidité conformément à la formule applicable dans la méthode mixte, étant souligné que ni le recours à cette méthode, ni le statut, et en particulier la pondération de la sphère professionnelle, ne sont contestés par la recourante. A cet égard, on précisera tout de même que les explications données le 17 mars 2016 par la recourante à l’enquêtrice, selon lesquelles, sans atteinte à la santé, elle aurait travaillé à temps complet, n’apparaissent pas crédibles dès lors qu’elles entrent en contradiction manifeste avec ses propres déclarations figurant dans l’enquête ménagère réalisée le 14 février 2012, au cours de laquelle elle affirmait que sans atteinte à la santé, elle aurait continué à travailler au même taux. Or, comme l’a relevé à juste titre l’enquêtrice, son fils cadet était alors âgé de 14 ans et, de ce fait, ne nécessitait plus de moyen de garde. C’est par conséquent à juste titre que l’intimé a maintenu un statut mixte (24% active et 76% ménagère). b. En l’espèce, dans son rapport d’enquête économique sur le ménage du 7 janvier 2019, l’enquêtrice a estimé les empêchements de la recourante, sans exigibilité, à 50% pour l’alimentation (champs d’activité pondéré à 45%), 70% pour l’entretien du logement (pondéré à 25%), 55% pour les achats et courses diverses (pondéré à 10%) et 70% pour la lessive et l’entretien des vêtements (pondéré à 20%). La Cour de céans constate que l'enquête économique a été effectuée par une personne qualifiée au domicile de la recourante, en présence de cette dernière, de son mari et d’une interprète. L'enquêtrice a rappelé les atteintes à la santé dont la recourante souffre et spécifié avoir pris en compte ses limitations fonctionnelles dans l'évaluation des empêchements ménagers. Elle a également relaté les propos de la recourante concernant les tâches qu'elle accomplissait avant son atteinte à la santé et celles qu'elle doit dorénavant déléguer à des proches. Il ressort en outre du rapport que l’enquêtrice l’a rédigé en ayant connaissance du fait que le mari de la recourante est lui-même invalide.</w:t>
      </w:r>
    </w:p>
    <w:p>
      <w:r>
        <w:t>A/1930/2019 - 15/19 - Le rapport expose également les solutions de répartition des tâches trouvées au sein de la famille pour suppléer aux empêchements de la recourante. Il analyse enfin dans quelle mesure, au vu des limitations fonctionnelles de l’intéressée, il peut néanmoins être attendu d’elle qu'elle contribue à l’accomplissement des tâches, par exemple en effectuant les travaux légers, tranquillement, à son rythme et en la fractionnant sur la semaine. Les conclusions du rapport d'enquête reposent donc sur un examen concret des circonstances du cas d'espèce et correspondent aux exigences formelles exposées ci-dessus. La recourante conteste les conclusions de l’enquête, en affirmant que ses empêchements dans le ménage sont en réalité plus importants. Elle fait valoir qu’elle ne peut effectuer les activités ménagères en raison de ses douleurs et que ses problèmes de santé l’obligent à passer la plus grande partie de la journée assise ou allongée. En particulier, s'agissant du poste alimentation, la recourante fait valoir dans son recours qu’elle ne peut pas cuisiner et qu’elle a toujours besoin de l’aide de son mari. Or, de manière contradictoire, la recourante a expliqué à l’enquêtrice que son époux ne l’aidait pas en cuisine. Leurs enfants confectionnent les plats, s’occupent de la vaisselle, du rangement de la cuisine et du nettoyage. Quoi qu’il en soit, on ne saurait s’écarter de l’empêchement de 50% retenu par l’enquêtrice, laquelle a dûment indiqué qu’on pouvait exiger de la recourante qu’elle participe tranquillement, à son rythme et de manière fractionnée, à l’élaboration d’une partie des repas, dans la mesure de ses possibilités. Il apparaît en outre exigible que le micro-ondes soit réparé afin que la recourante puisse réchauffer les repas de manière autonome. Au demeurant, selon la jurisprudence, la préparation des repas peut être allégée par l'achat de produits alimentaires prêts à l'emploi (arrêts du Tribunal fédéral des assurances I 308/04 et I 309/04 du 14 janvier 2005 consid. 6.3.2.1). S'agissant de l'entretien du logement, il résulte des déclarations du mari de la recourante à l’enquêtrice que son épouse enlève parfois la poussière sur la moitié de la table basse du salon. Le ménage courant est fait par le fils cadet. Une des filles passe une fois par semaine pour faire le ménage plus à fond et changer les draps. Une autre fille vient une fois par mois pour les vitres et les grands nettoyages. A cet égard, l’enquêtrice a retenu qu’il était exigible de la part de la recourante qu’elle fasse un peu de rangement ou enlève la poussière à sa hauteur, de manière fractionnée sur la semaine. En ce sens, le Tribunal fédéral a souligné, dans des arrêts concernant des assurés n’exerçant plus d’activité lucrative, qu’ils disposaient de plus de temps pour aménager leurs tâches ménagères avec les pauses nécessaires (arrêts du Tribunal fédéral des assurances I.583/02 du 2 mai 2003 consid. 4.1 et I.511/00 du 22 février 2001 consid. 3d). Tel est également le cas ici. L’empêchement de 70% n’apparaît dès lors pas critiquable.</w:t>
      </w:r>
    </w:p>
    <w:p>
      <w:r>
        <w:t>A/1930/2019 - 16/19 - S’agissant des achats et des courses diverses, la recourante a expliqué ne plus faire de grandes courses, ni d’emplettes par manque d’envie, mais aussi en lien avec des vertiges et des gonalgies. Son mari et une de leur fille gèrent les courses. Il est constaté dans le rapport d’enquête que les factures et papiers ont toujours été réglés par le mari de la recourante avec l’aide d’une assistante, de sorte qu’il n’y a aucune invalidité sur ce plan. Si l’enquêtrice n’a certes pas indiqué ce qui peut être attendu de la recourante s’agissant des achats, il n’en demeure pas moins qu’au vu de ses limitations fonctionnelles, il paraît admissible qu’elle continue à faire, de temps en temps, les grandes courses en voiture avec son époux. Partant, l’empêchement retenu de 55% n’est pas critiquable. S'agissant de la lessive et de l'entretien des vêtements, le seul fait que la recourante n’ait pas l’énergie pour faire des lessives ne permet pas de retenir un empêchement supérieur à 70%, étant précisé qu’elle et son époux ont fait l’acquisition d’une machine à laver. Selon la recourante, une de leurs filles vient faire les lessives et repasse, avec le fils cadet, les vêtements, si besoin. Comme l’a relevé à juste titre l’enquêtrice, on peut toutefois exiger de la recourante qu’elle mette le linge sale dans une panière et qu’elle participe de manière fractionnée aux lessives ou encore plie de petites pièces de linge. En définitive, la recourante ne justifie pas son point de vue par des éléments objectifs susceptibles de jeter le doute quant à la pertinence des constatations faites par l’enquêtrice. Par ailleurs, si ses médecins relatent que, de facto, leur patiente n'effectue plus les tâches ménagères, ils n’expliquent toutefois pas ce qui l’en empêcherait concrètement (cf. rapports des Dresses F______ et G______) étant rappelé que la recourante est tenue, pour réduire le dommage, de répartir ou fractionner le travail selon son état. Au demeurant, les empêchements retenus par l’enquêtrice ne sont pas contredits par l’expertise psychiatrique du Dr H______. Sur le plan somatique, il apparaît que la tendinopathie du tendon d’Achille et la fasciite plantaire bilatérale dont souffre la recourante depuis 2018 n’ont effectivement pas été prises en compte par l’enquêtrice dans son rapport, puisque l’intimé a appris l’existence de ces atteintes dans le cadre de la présente procédure (cf. rapport du 17 juin 2019 du Dr L______). Cela étant, à la lecture de ce rapport, il n’apparaît pas que ces atteintes, qui engendrent uniquement des difficultés à se chausser et à marcher correctement, entraîneraient des empêchements supérieurs à ceux retenus par l’enquêtrice dans l’accomplissement des activités ménagères. c. Par ailleurs, il apparaît que l'enquêtrice a évalué à sa juste valeur l'aide exigible de la part de la famille, à savoir une moyenne de 30% pour le mari, le fils cadet - qui vit avec ses parents - et deux filles. Si le mari est certes malade, comme la recourante le mentionne dans son recours, toutefois il n’est nullement fait état de limitations qui l’empêcheraient de participer aux tâches ménagères. Il ressort au demeurant de l'enquête sur le ménage que le mari fait les courses, avec l'aide d’une de ses filles.</w:t>
      </w:r>
    </w:p>
    <w:p>
      <w:r>
        <w:t>A/1930/2019 - 17/19 - S’agissant de l’aide apportée par un membre de la famille qui ne vit plus sous le même toit que l’assuré, le Tribunal fédéral a estimé que s’il peut certes sembler insoutenable de retenir une aide exigible de sa part, cela n'est néanmoins pas décisif du moment que les divers travaux ménagers accomplis précédemment par cette personne peuvent être reportés sur une autre, voire plusieurs autres personnes, sans que cela ne constitue pour celles-ci une charge excessive (cf. arrêt du Tribunal fédéral 9C_785/2014 du 30 septembre 2015 consid. 3.3.). Or, tel est le cas en l'occurrence, puisque le mari, qui ne travaille pas, et le fils cadet, apprenti, peuvent participer aux tâches domestiques. À titre de comparaison, le Tribunal fédéral a confirmé une exigibilité globale de 26,5% à charge d'une fille majeure (arrêt du Tribunal fédéral 9C_666/2016 du 23 janvier 2017 consid. 5.2.2; ATAS/358/2018 du 25 avril 2018 consid. 12). Quoi qu’il en soit, cela est d'autant moins arbitraire en l’occurrence que la recourante a déclaré elle-même à l’enquêtrice que ses deux filles venaient l’aider pour l’alimentation, l’entretien du logement, les achats ainsi que pour l’entretien des vêtements. Dans ces circonstances, la prise en compte d'une aide de l'entourage oscillant entre 50% et 25%, selon les champs d’activités, n'apparaît pas excéder ce qui peut être raisonnablement exigé des membres de la famille dans le cadre de l'obligation de diminuer le dommage. Par conséquent, l’aide exigible des proches de la recourante, évaluée à une moyenne de 30%, apparaît raisonnable. Partant, en l’absence d’erreurs d’estimation évidentes, ou d’indices laissant apparaître des inexactitudes ou des omissions dans les résultats de l’enquête, rédigé par une personne qualifiée, en pleine connaissance de la situation médicale et locale, une pleine valeur probante doit être reconnue au rapport économique sur le ménage. Par conséquent, le degré d’invalidité de 22,42 %, dans la sphère ménagère (76% x 29.50%), tel que retenu par l'intimé, doit être confirmé. d. En ce qui concerne l’invalidité dans la sphère professionnelle, l’intimé a considéré, sur la base de l’avis du SMR du 30 août 2018 que la recourante est totalement incapable de travailler en raison de ses atteintes psychiques. Il a donc fixé le degré d’invalidité à 24% (24% x 100%), ce qui n’est pas litigieux. Le degré d’invalidité global s’élève donc à 46,42% (22,42% + 24%), ouvrant droit à un quart de rente d’invalidité (cf. art. 28 al. 2 LAI), comme l’a retenu l’intimé.</w:t>
      </w:r>
    </w:p>
    <w:p>
      <w:r>
        <w:rPr>
          <w:b/>
        </w:rPr>
        <w:t>E. 18</w:t>
      </w:r>
    </w:p>
    <w:p>
      <w:r>
        <w:t>septembre 2015 consid. 5.2 et les références). En l'espèce, les rapports versés au dossier ne permettent pas de déterminer depuis quand l'atteinte incapacitante ayant conduit au dépôt de la demande de prestations le 6 janvier 2015 entraîne une incapacité de travail et un empêchement dans les tâches de la vie quotidienne de la recourante. Cela étant, dans la mesure où la recourante a commencé un suivi auprès de la Dresse F______ pour ses troubles psychiques en juillet 2014, et que ce médecin a attesté une incapacité de travail totale dans toute activité (rapport du 27 janvier 2015), il y a lieu de retenir, comme l’ont fait le SMR et l’intimé, que le début du délai d'attente d'un an a commencé à courir à compter de juillet 2014. A son échéance, soit en juillet 2015, la recourante présentait un degré d'invalidité de 46%. En outre, dans la mesure où l’intéressée a déposé sa demande de prestations le 6 janvier 2015, le droit à un quart de rente d'invalidité ne peut naître au plus tôt que six mois plus tard, soit à compter du 1er juillet 2015 (art. 29 al. 1 LAI). C’est, partant, à juste titre que l’intimé a mis la recourante au bénéfice d’un quart de rente d’invalidité à compter du 1er juillet 2015. Au vu de ce qui précède, le recours sera rejeté. Etant donné que depuis le 1er juillet 2006, la procédure n'est plus gratuite (art. 69 al. 1bis LAI), il y a lieu de condamner la recourante au paiement d'un émolument de CHF 200.-.</w:t>
      </w:r>
    </w:p>
    <w:p>
      <w:r>
        <w:t>A/1930/2019 - 19/19 -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