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ATAS/333/2019 vom 15. April 2019</w:t>
      </w:r>
    </w:p>
    <w:p>
      <w:r>
        <w:t>GE Cour de justice, 2019-04-15, FR</w:t>
      </w:r>
    </w:p>
    <w:p>
      <w:r>
        <w:rPr>
          <w:b/>
        </w:rPr>
        <w:t xml:space="preserve">Quelle: </w:t>
      </w:r>
      <w:r>
        <w:t>https://mcp.opencaselaw.ch/entscheid/ge_gerichte_ATAS_333_2019</w:t>
      </w:r>
    </w:p>
    <w:p>
      <w:r>
        <w:t>FR: GE_GERICHTE ATAS/333/2019 du 15 avril 2019</w:t>
      </w:r>
    </w:p>
    <w:p>
      <w:r>
        <w:t>IT: GE_GERICHTE ATAS/333/2019 del 15 aprile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A/2972/2018 - 10/21 - 2000 (LPGA - RS 830.1) relatives à la loi fédérale sur l'assurance-vieillesse et survivants, du 20 décembre 1946 (LAVS - RS 831.10). Sa compétence pour juger du cas d’espèce est ainsi établie, le recours étant dirigé contre une décision rendue sur opposition fondée sur la LAVS. b. Selon l’art. 52 al. 5 LAVS, en dérogation à l’art. 58 al. 1 LPGA, le tribunal des assurances du canton dans lequel l’employeur est domicilié est compétent pour traiter le recours. L’art. 52 al. 5 LAVS doit être compris en ce sens que les actions en réparation du dommage contre les personnes morales et leurs organes doivent être ouvertes au for du siège de la société, respectivement au for du siège qui était le sien avant la faillite, ceci indépendamment du domicile des organes recherchés (arrêt du Tribunal fédéral des assurances H 184/06 du 25 avril 2007 consid. 2.3). Dès lors que la société avait son siège dans le canton de Genève avant sa faillite, la chambre de céans est également compétente ratione loci. c. Le recours a été interjeté en temps utile (art. 60 LPGA), dans le respect des exigences de forme et de contenu prévues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Son recours est donc recevable.</w:t>
      </w:r>
    </w:p>
    <w:p>
      <w:r>
        <w:rPr>
          <w:b/>
        </w:rPr>
        <w:t>E. 2</w:t>
      </w:r>
    </w:p>
    <w:p>
      <w:r>
        <w:t>a. À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1er janvier 2012, ont également entraîné la modification de nombreuses dispositions légales, en particulier l’art. 52 al. 2 à 4 LAVS. b. En l’espèce, au vu des faits pertinents, la responsabilité du recourant doit être examinée, sur le plan matériel, au regard des dispositions en vigueur depuis le 1er janvier 2012.</w:t>
      </w:r>
    </w:p>
    <w:p>
      <w:r>
        <w:rPr>
          <w:b/>
        </w:rPr>
        <w:t>E. 2.2</w:t>
      </w:r>
    </w:p>
    <w:p>
      <w:r>
        <w:t>;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Selon la jurisprudence rendue à propos de l'ancien art. 82 al. 1 RAVS, et valable sous l'empire de l'art. 52 al. 3 LAVS (arrêt du Tribunal fédéral H.18/06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b. En l’espèce, le dommage s’est produit le 15 décembre 2014, soit au moment du prononcé de la faillite, et l’intimée est réputée avoir eu connaissance du dommage le 24 septembre 2015, lors de la publication dans la FOSC de la suspension de la faillite faute d’actifs.</w:t>
      </w:r>
    </w:p>
    <w:p>
      <w:r>
        <w:t>A/2972/2018 - 13/21 - Ainsi, le délai absolu de prescription de cinq ans courant dès le 15 décembre 2014 et le délai relatif de prescription de deux ans courant dès le 24 septembre 2015 ont été interrompus tant par la décision en réparation du dommage du 24 août 2016, que par la décision sur opposition du 2 août 2018, puis le recours du 3 septembre 2018.</w:t>
      </w:r>
    </w:p>
    <w:p>
      <w:r>
        <w:rPr>
          <w:b/>
        </w:rPr>
        <w:t>E. 3</w:t>
      </w:r>
    </w:p>
    <w:p>
      <w:r>
        <w:t>Le litige porte sur la responsabilité du recourant pour le dommage causé à l’intimée du fait du défaut de paiement des cotisations sociales (AVS-AI-APG et AVS ainsi qu’AMat et AF) dues et exigibles à son entrée en fonction le 5 octobre 2010 et</w:t>
      </w:r>
    </w:p>
    <w:p>
      <w:r>
        <w:t>A/2972/2018 - 11/21 - échues jusqu’au 19 août 2013, terme de son mandat. S’élevant à CHF 167'652.70, frais et intérêts moratoires compris, pour la durée de ce mandat, le montant du dommage n’est en tant que tel pas contesté.</w:t>
      </w:r>
    </w:p>
    <w:p>
      <w:r>
        <w:rPr>
          <w:b/>
        </w:rPr>
        <w:t>E. 4</w:t>
      </w:r>
    </w:p>
    <w:p>
      <w:r>
        <w:t>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5</w:t>
      </w:r>
    </w:p>
    <w:p>
      <w:r>
        <w:t>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 intérêts ; le droit à la réparation du dommage au sens de l'art. 52 al. 1 LAVS peut donc aussi se prescrire durant la procédure d'opposition ou la procédure de recours qui s'ensuit (ATF 135 V 74 consid. 4.2).</w:t>
      </w:r>
    </w:p>
    <w:p>
      <w:r>
        <w:t>A/2972/2018 - 12/21 - Le dommage survient dès que l'on doit admettre que les cotisations dues ne peuvent plus être recouvrées, pour des motifs juridiques ou de fait (ATF 129 V 195 consid.</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7</w:t>
      </w:r>
    </w:p>
    <w:p>
      <w:r>
        <w:t>a.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NUSSAUMER, Les caisses de compensation en tant que parties à une procédure de réparation d’un dommage selon l’art. 52 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(arrêt du Tribunal fédéral des assurances H 34/04 du 15 septembre 2004 consid. 5.3.2).</w:t>
      </w:r>
    </w:p>
    <w:p>
      <w:r>
        <w:t>A/2972/2018 - 14/21 - d. En l’occurrence, le recourant a été inscrit au registre du commerce en qualité d’administrateur le 5 octobre 2010 et son mandat a pris fin le 13 août 2013. Il faisait partie du conseil d’administration et revêtait donc la qualité d’organe formel, de sorte qu’il répond en principe du dommage subi par l’intimée.</w:t>
      </w:r>
    </w:p>
    <w:p>
      <w:r>
        <w:rPr>
          <w:b/>
        </w:rPr>
        <w:t>E. 8</w:t>
      </w:r>
    </w:p>
    <w:p>
      <w:r>
        <w:t>Il sied d’examiner si le recourant a violé intentionnellement ou par négligence grave les devoirs lui incombant et s’il existe un lien de causalité naturelle et adéquate entre le manquement qui lui est imputable et le préjudice subi.</w:t>
      </w:r>
    </w:p>
    <w:p>
      <w:r>
        <w:rPr>
          <w:b/>
        </w:rPr>
        <w:t>E. 9</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w:t>
      </w:r>
    </w:p>
    <w:p>
      <w:r>
        <w:t>A/2972/2018 - 15/21 -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 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Que l’administrateur n’ait pas été en mesure d’exercer ses fonctions parce que la société était dirigée de fait par le directeur ou qu’il ait accepté son mandat à titre fiduciaire dans le seul but de permettre au conseil d’administration de satisfaire aux exigences de l’art. 708 al. 1 CO n’est pas un motif de suppression ou d’atténuation de la faute commise (arrêt du Tribunal fédéral des assurances 9C_344/2011 du 3 février 2012 consid. 4.2). Au contraire, l’administrateur qui, de facto, est exclu de la gestion doit s’efforcer de manière d’autant plus durable d’avoir accès aux livres de compte (cf. arrêt du Tribunal fédéral 9C_289/2011 du 8 juillet 2011 consid. 4.2).</w:t>
      </w:r>
    </w:p>
    <w:p>
      <w:r>
        <w:t>A/2972/2018 - 16/21 -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w:t>
      </w:r>
    </w:p>
    <w:p>
      <w:r>
        <w:rPr>
          <w:b/>
        </w:rPr>
        <w:t>E. 10</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11</w:t>
      </w:r>
    </w:p>
    <w:p>
      <w:r>
        <w:t>a. En l’espèce, le recourant fait valoir en premier lieu que la structure organisationnelle de la société limitait grandement ses possibilités de faire entendre sa voix sur le plan interne à la société, celle-ci étant dirigée de fait par la famille E______ et M. M______, personnes qui auraient dissimulé de manière astucieuse la situation financière réelle de la société, de sorte qu’il n’avait pas à douter, avant</w:t>
      </w:r>
    </w:p>
    <w:p>
      <w:r>
        <w:t>A/2972/2018 - 18/21 - 2012, de la bonne gestion de cette dernière, d’autant que le rapport du 25 mai 2011 de l’organe de révision pour l’année 2010 ne contenait aucun élément qui aurait pu justifier une quelconque méfiance de sa part. En argumentant de la sorte, le recourant oublie qu’en endossant la charge d’administrateur du 5 octobre 2010 au 19 août 2013, il lui incombait, indépendamment de son rôle effectif, d’exercer les attributions intransmissibles et inaliénables rattachées à sa fonction de par la loi, en particulier la haute surveillance sur les personnes chargées de la gestion, ce qui était incompatible avec le fait d’avoir simplement « confiance en M. H______» et de « laisser faire les choses » sans ne rien savoir à ce sujet, soit « à mon total insu » (cf. courrier du</w:t>
      </w:r>
    </w:p>
    <w:p>
      <w:r>
        <w:rPr>
          <w:b/>
        </w:rPr>
        <w:t>E. 14</w:t>
      </w:r>
    </w:p>
    <w:p>
      <w:r>
        <w:t>Au vu de ce qui précède, le recours est rejeté. Le recourant, qui succombe, n’a pas droit à des dépens (art. 61 let. g LPGA a contrario). Pour le surplus, la procédure est gratuite (art. 61 let. a LPGA).</w:t>
      </w:r>
    </w:p>
    <w:p>
      <w:r>
        <w:t>******</w:t>
      </w:r>
    </w:p>
    <w:p>
      <w:r>
        <w:t>A/2972/2018 - 21/21 -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