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ATAS/333/2018 vom 16. April 2018</w:t>
      </w:r>
    </w:p>
    <w:p>
      <w:r>
        <w:t>GE Cour de justice, 2018-04-16, FR</w:t>
      </w:r>
    </w:p>
    <w:p>
      <w:r>
        <w:rPr>
          <w:b/>
        </w:rPr>
        <w:t xml:space="preserve">Quelle: </w:t>
      </w:r>
      <w:r>
        <w:t>https://mcp.opencaselaw.ch/entscheid/ge_gerichte_ATAS_333_2018</w:t>
      </w:r>
    </w:p>
    <w:p>
      <w:r>
        <w:t>FR: GE_GERICHTE ATAS/333/2018 du 16 avril 2018</w:t>
      </w:r>
    </w:p>
    <w:p>
      <w:r>
        <w:t>IT: GE_GERICHTE ATAS/333/2018 del 16 aprile 2018</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Interjeté dans les forme et délai prescrits par la loi, le recours est recevable (art. 49 al. 3 LMC).</w:t>
      </w:r>
    </w:p>
    <w:p>
      <w:r>
        <w:rPr>
          <w:b/>
        </w:rPr>
        <w:t>E. 3</w:t>
      </w:r>
    </w:p>
    <w:p>
      <w:r>
        <w:t>L’objet du litige porte sur le droit du recourant à des PCM dès le 1er mai 2015.</w:t>
      </w:r>
    </w:p>
    <w:p>
      <w:r>
        <w:rPr>
          <w:b/>
        </w:rPr>
        <w:t>E. 4</w:t>
      </w:r>
    </w:p>
    <w:p>
      <w:r>
        <w:t>a. 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w:t>
      </w:r>
    </w:p>
    <w:p>
      <w:r>
        <w:t>A/468/2016 - 14/18 -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b.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 Selon l’art. 11 LMC, les prestations sont égales aux indemnités de chômage perçues immédiatement avant l'incapacité de travail ; la réalisation d'un gain intermédiaire est réservée (al. 1). Lorsque l'incapacité de travail est partielle, les prestations sont réduites en proportion (al. 2). Les prestations sont versées au terme de la période d'incapacité de travail, mais au moins une fois par mois (al. 3). Selon l’art. 12 LMC, les prestations pour cause d’incapacité passagère de travail, totale ou partielle, ne peuvent être versées que si elles correspondent à une inaptitude au placement au sens de l’article 28 de la loi fédérale (al. 1). L'assuré n'a pas droit aux prestations s'il séjourne hors du lieu de son domicile, que ce soit en Suisse ou à l'étranger ; demeurent réservés les cas de nécessité. Le Conseil d’Etat règle la procédure et définit les cas de nécessité (al. 2). Les cas de nécessité médicale doivent recevoir l’aval du médecin-conseil de l’autorité compétente (al.</w:t>
      </w:r>
    </w:p>
    <w:p>
      <w:r>
        <w:t>A/468/2016 - 15/18 - 3). Les prestations peuvent être versées lorsque l’incapacité donne lieu à une cure ou une convalescence se déroulant en Suisse (al. 4).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 noter que l’affiliation doit être interprétée comme le moment à partir duquel l’assuré est couvert par les PCM, soit depuis la date de l’ouverture du délai-cadre d’indemnisation (ATAS/81/2013 du 21 janvier 2013) Selon l’art. 15 LMC,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l’article 27 de la loi fédérale (al. 2). Selon l’art. 16 al. 4 du règlement d’exécution de la loi en matière de chômage (RMC), du 23 janvier 2008, en cas de divergence entre les médecins traitants et le médecin-conseil de l'office, l'avis de ce dernier prévaut.</w:t>
      </w:r>
    </w:p>
    <w:p>
      <w:r>
        <w:rPr>
          <w:b/>
        </w:rPr>
        <w:t>E. 5</w:t>
      </w:r>
    </w:p>
    <w:p>
      <w:r>
        <w:t>Les principes applicables en matière d’assurance privée s’appliquent à l’assurance perte de gain instaurée par la LMC (ATAS/663/2016 du 25 août 2016) ; dans ce domaine, un contrat d’assurance est nul si le risque assuré est déjà survenu avant la conclusion du contrat, conformément à l’art. 9 de la loi fédérale sur le contrat d’assurance du 2 avril 1908 (LCA – RS 221.229.1) ; un sinistre déjà survenu ne peut en principe pas être assuré (interdiction de l’assurance rétroactive).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 Se fondant sur l’assurance-maladie, le Tribunal fédéral qualifie la maladie comme événement assuré. Il considère que l’apparition de nouveaux symptômes d’une maladie antérieure ou une rechute d’une maladie ne sont juridiquement pas une nouvelle maladie ou un événement assuré partiel, mais la continuation d’un événement déjà survenu au sens de l’art. 9 LCA (ATF 127 III 21 consid. 2b). Toutefois, cette jurisprudence n’est pas applicable lorsque la maladie n’a pas entraîné d’incapacité de gain jusqu’au moment de la conclusion du contrat d’assurance. Dans le cas où un sinistre partiel est déjà survenu, il est possible de s’assurer contre le risque affectant l’autre partie, si la survenance de celui-ci est aléatoire (ATF 136 III 334).</w:t>
      </w:r>
    </w:p>
    <w:p>
      <w:r>
        <w:t>A/468/2016 - 16/18 -</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w:t>
      </w:r>
    </w:p>
    <w:p>
      <w:r>
        <w:rPr>
          <w:b/>
        </w:rPr>
        <w:t>E. 8</w:t>
      </w:r>
    </w:p>
    <w:p>
      <w:r>
        <w:t>Le juge des assurances sociales fonde sa décision, sauf dispositions contraires de la loi, sur les faits qui, faute d’être établis de manière irréfutable, apparaissent comme</w:t>
      </w:r>
    </w:p>
    <w:p>
      <w:r>
        <w:t>A/468/2016 - 17/18 -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l’occurrence, l’intimé a admis, à la suite du projet d’acceptation de rente de l’OAI du 29 novembre 2017 constatant une incapacité de travail totale du recourant depuis octobre 2015, que ce dernier avait droit aux PCM du 1er mai au 30 septembre 2015. Le recourant a déclaré accepter la proposition de l’intimé. Il convient, dans ces conditions, de suivre la position de l’intimé, laquelle est conforme aux dispositions légales précitées concernant le droit des assurés aux PCM.</w:t>
      </w:r>
    </w:p>
    <w:p>
      <w:r>
        <w:rPr>
          <w:b/>
        </w:rPr>
        <w:t>E. 11</w:t>
      </w:r>
    </w:p>
    <w:p>
      <w:r>
        <w:t>Partant, le recours sera admis, la décision litigieuse annulée et il sera dit que le recourant a droit aux PCM du 1er mai au 30 septembre 2015. Vu l’issue du litige, une indemnité de CHF 1'500.- sera allouée au recourant, à charge de l’intimé, étant constaté que le curateur du recourant est avocat (ATF 135 V 473 ; 126 V 11).</w:t>
      </w:r>
    </w:p>
    <w:p>
      <w:r>
        <w:t>A/468/2016 - 18/18 -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