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ATAS/333/2013 vom 9. April 2013</w:t>
      </w:r>
    </w:p>
    <w:p>
      <w:r>
        <w:t>GE Cour de justice, 2013-04-09, FR</w:t>
      </w:r>
    </w:p>
    <w:p>
      <w:r>
        <w:rPr>
          <w:b/>
        </w:rPr>
        <w:t xml:space="preserve">Quelle: </w:t>
      </w:r>
      <w:r>
        <w:t>https://mcp.opencaselaw.ch/entscheid/ge_gerichte_ATAS_333_2013</w:t>
      </w:r>
    </w:p>
    <w:p>
      <w:r>
        <w:t>FR: GE_GERICHTE ATAS/333/2013 du 9 avril 2013</w:t>
      </w:r>
    </w:p>
    <w:p>
      <w:r>
        <w:t>IT: GE_GERICHTE ATAS/333/2013 del 9 aprile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t>A/3678/2009 - 20/27 -</w:t>
      </w:r>
    </w:p>
    <w:p>
      <w:r>
        <w:rPr>
          <w:b/>
        </w:rPr>
        <w:t>E. 2</w:t>
      </w:r>
    </w:p>
    <w:p>
      <w:r>
        <w:t>Les questions de la recevabilité du recours et du droit applicable ont été tranchées par l’arrêt du 1er juin 2010 (ATAS/636/2010) de sorte qu’il n’y a pas lieu de les examiner.</w:t>
      </w:r>
    </w:p>
    <w:p>
      <w:r>
        <w:rPr>
          <w:b/>
        </w:rPr>
        <w:t>E. 3</w:t>
      </w:r>
    </w:p>
    <w:p>
      <w:r>
        <w:t>L’objet du litige consiste à déterminer si l’intimée était fondée à mettre fin à ses prestations d’assurance au 31 mars 2005, singulièrement s’il existe un rapport de causalité (naturelle et adéquate) entre les troubles de la recourante subsistant après cette date et l’accident du 1er février 2000.</w:t>
      </w:r>
    </w:p>
    <w:p>
      <w:r>
        <w:rPr>
          <w:b/>
        </w:rPr>
        <w:t>E. 4</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(ATFA non publié U 61/91 du 18 décembre 1991, consid. 4, in RAMA 1992 no U 142 p. 75; FRÉSARD/MOSER-SZELESS, L'assurance-accidents obligatoire, in Schweizerisches Bundesverwaltungsrecht [SBVR], Soziale Sicherheit, vol. XIV, 2ème éd., no 80 p. 865). Le droit à des prestations de l'assurance-accidents suppose en outre l'existence d'un lien de causalité adéquate entre l'accident et l'atteinte à la santé. La causalité est adéquate si, d'après le cours ordinaire des choses et l'expérience de la vie, le fait</w:t>
      </w:r>
    </w:p>
    <w:p>
      <w:r>
        <w:t>A/3678/2009 - 21/27 - considéré était propre à entraîner un effet du genre de celui qui s'est produit, la survenance de ce résultat paraissant de façon générale favorisée par une telle circonstance (ATF 129 V 177 consid. 3.2 ; 129 V 402 consid. 2.2 ;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127 V 102 consid. 5b/bb et les références).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w:t>
      </w:r>
    </w:p>
    <w:p>
      <w:r>
        <w:rPr>
          <w:b/>
        </w:rPr>
        <w:t>E. 5</w:t>
      </w:r>
    </w:p>
    <w:p>
      <w:r>
        <w:t>La plupart des éventualités assurées (par exemple la maladie, l'accident, l'incapacité de travail, l'invalidité, l'atteinte à l'intégrité physique ou mentale) suppose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A/3678/2009 - 22/27 - Sans remettre en cause le principe de la libre appréciation des preuves, le Tribunal fédéral des assurances a posé des lignes directrices en ce qui concerne la manière d'apprécier certains types d'expertises ou de rapports médicaux. (ATF 125 V 352 ss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l’occurrence, compte tenu des contradictions trop importantes séparant, d’une part, l’expert privé et, d’autre part, les experts administratifs sur la problématique médicale présentée par la recourante, la Cour de céans a ordonné une surexpertise somatique, auprès du Dr LC_________, et psychiatrique, auprès du Dr LD_________.</w:t>
      </w:r>
    </w:p>
    <w:p>
      <w:r>
        <w:t>A/3678/2009 - 23/27 - Par rapport du 16 mars, complété le 14 novembre 2012, le Dr LC_________ a diagnostiqué des séquelles d’algoneurodystrophie au membre supérieur gauche avec un enraidissement majeur de l’épaule gauche, un enraidissement sévère du coude gauche, un enraidissement majeur et une perte de fonction sévère du pouce gauche, un enraidissement minime de l’index gauche, une dysfonction motrice du membre supérieur gauche, un status après lésion traumatique capsulo-ligamentaire de la métacarpo-phalangienne du pouce gauche et réparation chirurgicale et un status après neurolyse pour atteinte myélinique modérée du nerf médian au poignet gauche. Selon l’expert, la recourante remplissait tous les critères formulés par l’IASP permettant de retenir le diagnostic d’algoneurodystrophie. L’accident du 1er février 2000 était très probablement - soit à plus de 50% - la cause unique des atteintes à la santé présentées par la recourante. Celles-ci entraînaient des limitations fonctionnelles, une incapacité de travail dans l’activité habituelle et dans une activité adaptée ainsi qu’une atteinte à l’intégrité. Enfin, elles nécessitaient encore un traitement médical. Par rapport du 19 mars 2012, le Dr LD_________ a diagnostiqué un trouble anxieux et dépressif réactionnel, en rémission partielle sous traitement psychiatrique. L’expert a estimé que les éléments anamnestiques ainsi que l’observation psychiatrique détaillés ne permettaient pas de retenir un diagnostic de trouble de la personnalité chez l’expertisée, en particulier pas de trouble « hystérique » ou hystrionique. La recourante ne présentait aucun trouble psychiatrique prémorbide ayant pu influencer le déroulement des évènements consécutifs à l’accident du 1er février 2000. L’expert n’a relevé aucun élément en faveur d’un syndrome de conversion, ni de bénéfice secondaire aux troubles présentés chez la recourante, une personne engagée sur le plan familial, social et professionnel. La Cour de céans constate que les expertises des Drs LC_________ et LD_________ reposent sur un examen de la recourante et sur l’étude de son dossier médical. Les anamnèses sont détaillées et les plaintes de la recourante ont été prises en considération. Les expertises sont en outre très bien motivées et celle effectuée par le Dr LC_________ expose de façon claire, précise et systématique les critères permettant de retenir les diagnostics posés. Enfin, les deux experts - qui ont eu un entretien de synthèse le 14 février 2012, avant de rendre leurs conclusions - ont bien expliqué les raisons pour lesquelles ils s’écartaient de certains avis médicaux. Il y a donc lieu de reconnaître une pleine valeur probante à leur rapport d’expertise. Dans la mesure où l’appréciation des experts judiciaires était nécessaire pour départager les expertises administratives de celle rendue par l’expert privé - expertises ayant une valeur probante équivalente sur le plan formel, mais dont les contenus étaient inconciliables - les conclusions auxquelles sont parvenus les experts judiciaires, à savoir que la recourante présente une algoneurodystrophie en</w:t>
      </w:r>
    </w:p>
    <w:p>
      <w:r>
        <w:t>A/3678/2009 - 24/27 - relation de causalité naturelle avec l’accident assuré, sont inévitablement contraires aux opinions des experts mandatés par l’intimée. Il convient donc d’examiner si les avis des experts administratifs sont aptes à mettre sérieusement en doute la pertinence des conclusions des experts judiciaires. Les Prof. LT_________ et LR__________ ont écarté le diagnostic d’algoneurodystrophie en raison du maintien d’une trophicité musculaire pratiquement normale et compte tenu de la persistance d’un flexum irréductible du coude gauche avec maintien d’une prono-supination et l’absence de rétraction en flexion des doigts longs de la main gauche. Le Dr LC_________ a toutefois dûment expliqué que la normalité de la trophicité musculaire devrait se baser sur une comparaison avec le côté sain, ce qui n’avait pas été réalisé en l’occurrence. En outre, la diminution de la masse musculaire à l’épaule gauche de la recourante était évidente à l’examen clinique et le Prof. LT_________ lui-même avait constaté une amyotrophie du membre supérieur à son examen clinique. Par ailleurs, le Dr LC_________ a indiqué que la préservation d’une fonction partielle du coude ne permet pas d’écarter le diagnostic, lequel ne touche au demeurant pas obligatoirement la totalité des rayons digitaux. Il était vrai que certains mouvements étaient épargnés, comme la pronation/supination et la mobilité des doigts longs. Cependant, les critères définis par l’IASP ne requièrent pas une diminution globale de la mobilité de toutes les articulations. Ainsi, cette constatation ne pouvait pas être utilisée pour nier l’existence d’une algoneurodystrophie. La Cour de céans relèvera que compte tenu des explications détaillées et convaincantes fournies par le Dr LC_________, on ne saurait retenir, comme le fait l’intimée dans sa dernière écriture, que l’expert judiciaire aurait répondu évasivement au critère de la mobilisation des articulations invoqué par les Prof. LR_________ et LT_________. Les Prof. LT_________ et LR_________ ont également relevé l’absence d’une image de déminéralisation mouchetée sur les divers clichés radiographiques et le fait que le tableau présenté par la recourante ne correspond pas du tout aux descriptions de la littérature. L’expert judiciaire a expliqué, de manière convaincante, que conformément aux critères retenus par l’IASP, la radiographie n’est pas un élément central requis pour poser le diagnostic litigieux, de sorte que l’absence d’imagerie n’a aucune incidence, ni sur l’établissement du diagnostic, ni sur l’appréciation du lien de causalité. En outre, le Dr LC_________ a relevé que l’image clinique du pouce, du coude et de l’épaule de la recourante était fréquente dans le cadre de cette pathologie. Il a ajouté qu’étant donné que la pathophysiologie de l’enraidissement observé lors d’une algoneurodystrophie n’avait pas encore pu être élucidée de manière complète, il était bien possible qu’il soit lié à l’immobilisation volontaire ou antalgique. Toutefois, cela n’enlevait rien à la présence du diagnostic litigieux. Il a encore précisé que vu les constatations effectuées lors de la mobilisation de l’épaule sous anesthésie générale effectuée en août 2003, il ne pouvait s’agir d’une immobilisation facticieuse.</w:t>
      </w:r>
    </w:p>
    <w:p>
      <w:r>
        <w:t>A/3678/2009 - 25/27 - Les Prof. LT_________ et LR_________ ont également écarté le diagnostic d’algoneurodystrophie au motif que l’épaule aurait dû être atteinte dans les jours ou les semaines qui suivent le traumatisme et non pas des mois plus tard. Le Dr LC_________ a expliqué à cet égard qu’il s’agissait d’un avis personnel des deux experts, qui ne reposait pas sur des références scientifiques. Il a ajouté que quoi qu’il en soit, une asymétrie de la mobilité des épaules figurait au dossier en date du 29 juin 2000, soit cinq mois après l’accident, et que sur la base de ses recherches en littérature médicale, la présence d’un tel délai ne permet pas d’écarter le diagnostic d’algoneurodystrophie. On relèvera, à l’attention de l’intimée, que l’expert judiciaire a non seulement dûment listé ses références (rapport du 16 mars 2012, p. 41), mais qu’il a également dûment expliqué les critères formulés par l’IASP qui lui ont permis de retenir la présence d’une algoneurodystrophie. Enfin, les Prof. LT_________ et LR_________ avaient retenu que l’épilation soigneuse, sans érythrose et sans macération du creux axillaire gauche allait à l’encontre d’une immobilité totale de l’épaule gauche. Il s’agissait, selon eux, d’un élément objectif capital. A cet égard, le Dr LC_________ a indiqué que l’expertisée affirmait que sa pilosité était suffisamment faible pour éviter de devoir recourir à une épilation, et ce des deux côtés, ce qui paraissait plausible, mais il n’avait pas vérifié cet élément. Quoi qu’il en soit, tant le Dr LC_________ que le Dr LD_________ ont noté l’importance des constatations lors de la mobilisation de l’épaule sous anesthésie générale effectuée par le Prof. LE_________ en août 2003, constatations qui avaient été toutefois ignorées par les Prof. LT_________ et LR________, alors que cet examen constitue, selon le Dr LD_________, une valeur objective probante pour les séquelles organiques présentées par la recourante. Ainsi, alors que les Drs F_________, LL_________, LM_________, LR_________ et LT_________ ont retenu que l’impotence de l’épaule gauche était de nature psychogène et résultait d’un syndrome de conversion, le Dr LC_________ a relevé que si l’impotence de l’épaule avait été de nature psychogène, sa mobilité aurait été normale sous anesthésie. Qui plus est, le Dr LD_________ a constaté que la recourante ne souffre pas d’un syndrome de conversion et qu’elle ne présente aucun trouble psychiatrique prémorbide ayant pu influencer le déroulement des évènements consécutifs à l’accident du 1er février 2000. Il a relevé en outre que le diagnostic de « trouble de conversion » avait été formulé dans le rapport d’expertise du CHUV sans que l’expert psychiatre, le Dr LS_________, n’en fasse mention dans son propre rapport. L’intimée relève encore que s’agissant de l’hypersudation, aucun médecin ne l’avait remarqué avant 2009, alors que l’accident avait eu lieu en 2000. Interpellé sur ce point, le Dr LC_________ a expliqué qu’il était peu probable que la sudation ne soit apparue qu’après un délai de neuf ans (exception faite d’une brève mention le 29 juin 2000 par le centre de rééducation et de chirurgie de la main des HUG). Force est donc de constater que l’absence de la mention d’une hypersudation dans</w:t>
      </w:r>
    </w:p>
    <w:p>
      <w:r>
        <w:t>A/3678/2009 - 26/27 - les rapports médicaux n’a pas été retenue par l’expert judiciaire comme étant un élément suffisant pour écarter le diagnostic d’algoneurodystrophie. Il apparaît ainsi qu’il n’existe aucune circonstance bien établie, susceptible d’ébranler sérieusement la crédibilité des conclusions des Drs LC_________ et LD_________. Compte tenu de ce qui précède, la Cour de céans est d’avis qu’une audition et une confrontation du Dr LC_________ avec les Prof. LT_________ et LR_________, telles que sollicitées par l’intimée, n’apporteraient aucun élément décisif dans le cadre du présent litige, de sorte qu’elles doivent être rejetées (sur l'appréciation anticipée des preuves; cf. ATF 122 II 469 consid. 4a, 122 III 223 consid. 3c, 120 Ib 229 consid. 2b, 119 V 344 consid. 3c et la référence). Il convient ainsi d’admettre que les troubles somatiques présentés par la recourante au membre supérieur gauche sont en lien de causalité naturelle et adéquate avec l’accident du 1er février 2000, de sorte que c’est à tort que l’intimée a mis fin au versement des prestations avec effet au 31 mars 2005.</w:t>
      </w:r>
    </w:p>
    <w:p>
      <w:r>
        <w:rPr>
          <w:b/>
        </w:rPr>
        <w:t>E. 7</w:t>
      </w:r>
    </w:p>
    <w:p>
      <w:r>
        <w:t>Le recours sera par conséquent partiellement admis, la décision litigieuse annulée, la recourante ayant droit à la reprise du versement des indemnités journalières et au traitement médical à compter du 1er avril 2005. Le dossier sera renvoyé à l’intimée pour qu’elle se prononce par ailleurs sur le droit de la recourante à une rente d’invalidité et à une indemnité pour atteinte à l’intégrité.</w:t>
      </w:r>
    </w:p>
    <w:p>
      <w:r>
        <w:rPr>
          <w:b/>
        </w:rPr>
        <w:t>E. 8</w:t>
      </w:r>
    </w:p>
    <w:p>
      <w:r>
        <w:t>La recourante, qui obtient gain de cause, a droit à une indemnité à titre de participation à ses frais et dépens, que la Cour fixe en l'espèce à 3'500 fr. compte tenu du nombre d'écritures et de la complexité du cas (art. 61 let. g LPGA).</w:t>
      </w:r>
    </w:p>
    <w:p>
      <w:r>
        <w:t>A/3678/2009 - 27/27 -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