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ATAS/332/2024 vom 15. Mai 2024</w:t>
      </w:r>
    </w:p>
    <w:p>
      <w:r>
        <w:t>GE Cour de justice, 2024-05-15, FR</w:t>
      </w:r>
    </w:p>
    <w:p>
      <w:r>
        <w:rPr>
          <w:b/>
        </w:rPr>
        <w:t xml:space="preserve">Quelle: </w:t>
      </w:r>
      <w:r>
        <w:t>https://mcp.opencaselaw.ch/entscheid/ge_gerichte_ATAS_332_2024</w:t>
      </w:r>
    </w:p>
    <w:p>
      <w:r>
        <w:t>FR: GE_GERICHTE ATAS/332/2024 du 15 mai 2024</w:t>
      </w:r>
    </w:p>
    <w:p>
      <w:r>
        <w:t>IT: GE_GERICHTE ATAS/332/2024 del 15 maggio 2024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w:t>
      </w:r>
    </w:p>
    <w:p>
      <w:r>
        <w:t>A/2243/2022 - 10/20 - La compétence de la chambre de céans à raison de la matière pour juger du cas d’espèce est ainsi établie.</w:t>
      </w:r>
    </w:p>
    <w:p>
      <w:r>
        <w:rPr>
          <w:b/>
        </w:rPr>
        <w:t>E. 2.1</w:t>
      </w:r>
    </w:p>
    <w:p>
      <w:r>
        <w:t>La LCA a fait l’objet d’une révision entrée en vigueur le 1er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entre la défenderesse et l’ancien employeur de la demanderesse a été conclu avant le 1er janvier 2022 et l’objet du litige n’entre pas dans le champs d’application de la disposition transitoire précitée, de sorte que les dispositions de la LCA applicables seront citées dans leur ancienne teneur.</w:t>
      </w:r>
    </w:p>
    <w:p>
      <w:r>
        <w:rPr>
          <w:b/>
        </w:rPr>
        <w:t>E. 2.2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physique/personne morale, le for est celui de son domicile/de son siège (art. 10 al. 1 let. a/b CPC), étant précisé que l’art. 17 al. 1 CPC consacre la possibilité d’une élection de for écrite. En l’occurrence, l’art. 29 des Conditions générales pour l’assurance maladie collective (édition 07.2020) (ci-après : CGA) prévoit que pour les actions dirigées par des employés assurés contre l’assureur sont compétents au choix les tribunaux du siège de ce dernier ou ceux du lieu de travail des premiers. La demanderesse ayant travaillé en dernier lieu à Genève, la chambre de céans est compétente à raison du lieu pour connaître de la présente demande.</w:t>
      </w:r>
    </w:p>
    <w:p>
      <w:r>
        <w:rPr>
          <w:b/>
        </w:rPr>
        <w:t>E. 3.1</w:t>
      </w:r>
    </w:p>
    <w:p>
      <w:r>
        <w:t>La loi fédérale sur la surveillance des entreprises d’assurance du 17 décembre 2004 (LSA - RS 961.01) ne contient pas de règles spécifiques concernant les délais relatifs aux contestations de droit privé qui s’élèvent entre les entreprises d’assurance et les assurés.</w:t>
      </w:r>
    </w:p>
    <w:p>
      <w:r>
        <w:rPr>
          <w:b/>
        </w:rPr>
        <w:t>E. 3.2</w:t>
      </w:r>
    </w:p>
    <w:p>
      <w:r>
        <w:t>Les litiges relatifs aux assurances complémentaires à l'assurance-maladie ne sont pas soumis à la procédure de conciliation préalable de l'art. 197 CPC lorsque</w:t>
      </w:r>
    </w:p>
    <w:p>
      <w:r>
        <w:t>A/2243/2022 - 11/20 - les cantons ont prévu une instance cantonale unique selon l'art. 7 CPC (ATF 138 III 558 consid. 4.5 et 4.6; ATAS/577/2011 du 31 mai 2011), étant rappelé que le législateur genevois a fait usage de cette possibilité (art. 134 al. 1 let. c LOJ).</w:t>
      </w:r>
    </w:p>
    <w:p>
      <w:r>
        <w:rPr>
          <w:b/>
        </w:rPr>
        <w:t>E. 3.3</w:t>
      </w:r>
    </w:p>
    <w:p>
      <w:r>
        <w:t>S’agissant de la forme de la demande, selon l’art. 244 al. 1 let. a CPC, celle-ci doit contenir la désignation des parties.</w:t>
      </w:r>
    </w:p>
    <w:p>
      <w:r>
        <w:rPr>
          <w:b/>
        </w:rPr>
        <w:t>E. 3.4</w:t>
      </w:r>
    </w:p>
    <w:p>
      <w:r>
        <w:t>L’action en paiement d’une somme d’argent doit être chiffrée, conformément à l’art. 84 al. 2 CPC. Le chiffrement des actions en paiement d’une somme d’argent compte parmi les conditions de recevabilité, que le juge doit examiner d’office (arrêt du Tribunal fédéral 4S_235/2016 du 7 mars 2017 consid. 2.1). Aux termes de l’art. 227 al. 1 CPC, la demande peut être modifiée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w:t>
      </w:r>
    </w:p>
    <w:p>
      <w:r>
        <w:rPr>
          <w:b/>
        </w:rPr>
        <w:t>E. 3.5</w:t>
      </w:r>
    </w:p>
    <w:p>
      <w:r>
        <w:t>Selon l’art. 87 LCA, l'assurance collective contre les accidents ou la maladie donne au bénéficiaire, dès qu'un accident ou une maladie est survenu, un droit propre contre l'assureur. Un contrat collectif d'indemnités journalières selon la LCA, couvrant les employés pour le risque de perte de gain en cas de maladie, est une assurance au profit de tiers (cf. art. 18 al. 3 LCA), qui confère un droit propre au bénéficiaire (soit le travailleur) contre l'assureur en vertu de l'art. 87 LCA (arrêt du Tribunal fédéral 4A_179/2007 du 12 septembre 2007 consid. 4.2). Un employé a ainsi la légitimation active pour agir contre l’assureur (arrêt du Tribunal fédéral 5C.42/2005 du 21 avril 2005 consid. 3).</w:t>
      </w:r>
    </w:p>
    <w:p>
      <w:r>
        <w:rPr>
          <w:b/>
        </w:rPr>
        <w:t>E. 3.6</w:t>
      </w:r>
    </w:p>
    <w:p>
      <w:r>
        <w:t>La demande, qui satisfait aux exigences de forme fixées par le droit fédéral, est recevable. La demanderesse a amplifié ses conclusions en cours de procédure. Les conditions de l’art. 227 al. 1 CPC sont présentement réalisées, la défenderesse ne s’étant en particulier pas opposée à l’amplification des conclusions qui sont à l’évidence en lien de connexité avec la demande initiale, de sorte que les conclusions de la demande dans leur version modifiée sont recevables.</w:t>
      </w:r>
    </w:p>
    <w:p>
      <w:r>
        <w:rPr>
          <w:b/>
        </w:rPr>
        <w:t>E. 4</w:t>
      </w:r>
    </w:p>
    <w:p>
      <w:r>
        <w:t>Le litige, tel que délimité par les conclusions de la demande, porte sur le droit de la demanderesse au versement d’indemnités journalières au-delà du 30 novembre 2021.</w:t>
      </w:r>
    </w:p>
    <w:p>
      <w:r>
        <w:rPr>
          <w:b/>
        </w:rPr>
        <w:t>E. 4.1</w:t>
      </w:r>
    </w:p>
    <w:p>
      <w:r>
        <w:t>non publié; ATF 130 III 321 consid. 3.1; ATF 129 III 18 consid. 2.6; ATF 127 III 519 consid. 2a). En conséquence, l'ayant droit est tenu de prouver les faits relatifs à la "justification de ses prétentions" (selon la note marginale de l'art. 39 LCA), à savoir l'existence d'un contrat d'assurance, la survenance du cas d'assurance et l'étendue de ses prétentions, tandis que le fardeau de la preuve relatif aux faits supprimant le droit, respectivement l’empêchant, incombe à la partie qui affirme la perte du droit ou qui conteste son existence ou son étendue. Ces principes, qui sont également applicables dans le domaine du contrat d'assurance, impliquent qu'il incombe à l'ayant droit d'alléguer et de prouver notamment la survenance du sinistre (cf. ATF 148 III 105 consid. 3.3.1; ATF 130 III 321 consid. 3.1). L’art. 8 CC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w:t>
      </w:r>
    </w:p>
    <w:p>
      <w:r>
        <w:t>A/2243/2022 - 13/20 -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rPr>
          <w:b/>
        </w:rPr>
        <w:t>E. 5</w:t>
      </w:r>
    </w:p>
    <w:p>
      <w:r>
        <w:t>La procédure simplifiée s'applique aux litiges portant sur des assurances complémentaires à l’assurance-maladie sociale au sens de la LAMal (art. 243 al. 2 let. f CPC) et la chambre de céans établit les faits d'office (art. 247 al. 2 let. a CPC).</w:t>
      </w:r>
    </w:p>
    <w:p>
      <w:r>
        <w:t>A/2243/2022 - 12/20 -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Lorsque la maxime inquisitoire sociale trouve application, le juge n’est en revanche pas lié par les allégations et les offres de preuve des parties (ATF 142 III 402 consid. 2.1 ; 139 III 457 consid. 4.4.3.2). Des allégués et offres de preuve peuvent être produits par les parties jusqu’aux délibérations en application de l’art. 229 al. 3 CPC (ATF 142 III 402 consid. 2.1).</w:t>
      </w:r>
    </w:p>
    <w:p>
      <w:r>
        <w:rPr>
          <w:b/>
        </w:rPr>
        <w:t>E. 6.1</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w:t>
      </w:r>
    </w:p>
    <w:p>
      <w:r>
        <w:rPr>
          <w:b/>
        </w:rPr>
        <w:t>E. 6.2</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w:t>
      </w:r>
    </w:p>
    <w:p>
      <w:r>
        <w:rPr>
          <w:b/>
        </w:rPr>
        <w:t>E. 6.3</w:t>
      </w:r>
    </w:p>
    <w:p>
      <w:r>
        <w:t>La partie qui n’a pas la charge de la preuve a le droit d’apporter une contre- 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7.1</w:t>
      </w:r>
    </w:p>
    <w:p>
      <w:r>
        <w:t>L’art. 8 CC ne régit pas l’appréciation des preuves, de sorte qu’il ne prescrit pas quelles sont les mesures probatoires qui doivent être ordonnées (ATF 127 III 519 consid. 2a), ni ne dicte au juge comment forger sa conviction (ATF 128 III 22 consid. 2d; 127 III 248 consid. 3a, consid. 2a) ; cette disposition n’exclut pas non plus que le juge puisse, sur la base d’une appréciation anticipée des preuves déjà disponibles, refuser l’administration d’une preuve supplémentaire au motif qu’il la tient pour impropre à modifier sa conviction (ATF 131 III 222 consid. 4.3;129 III 18 consid. 2.6).</w:t>
      </w:r>
    </w:p>
    <w:p>
      <w:r>
        <w:t>A/2243/2022 - 14/20 -</w:t>
      </w:r>
    </w:p>
    <w:p>
      <w:r>
        <w:rPr>
          <w:b/>
        </w:rPr>
        <w:t>E. 7.2</w:t>
      </w:r>
    </w:p>
    <w:p>
      <w:r>
        <w:t>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juge apprécie librement la force probante des preuves administrées en fonction des circonstances concrètes, sans être lié par des règles légales et sans être obligé de suivre un schéma précis (arrêt du Tribunal fédéral 5A_113/2015 du 3 juillet 2015 consid. 3.2). L’obligation du tribunal de motiver son appréciation des preuves, c’est-à-dire d’indiquer les raisons pour lesquels il considère un fait ou la conclusion d’une expertise comme établi, découle de l’obligation de motiver liée au droit d’être entendu (arrêt du Tribunal fédéral 5A_663/2015 du 7 mars 2015 consid. 3.1). Il n’a toutefois pas l’obligation d’exposer et de discuter tous les faits, moyens de preuve et griefs invoqués par les parties, mais peut au contraire se limiter à l’examen des questions décisives pour l’issue du litige (ATF 141 V 557 consid. 3.2.1).</w:t>
      </w:r>
    </w:p>
    <w:p>
      <w:r>
        <w:rPr>
          <w:b/>
        </w:rPr>
        <w:t>E. 7.3</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L’expertise, en tant que moyen de preuve admis au sens de l’art. 168 al. 1 let. d CPC (cf. ci-dessus : consid. 6.2), ne vise que l’expertise judiciaire au sens de l’art 183 al. 1 CPC.</w:t>
      </w:r>
    </w:p>
    <w:p>
      <w:r>
        <w:t>A/2243/2022 - 15/20 - Une expertise privée n’est en revanche pas un moyen de preuve mais une simple allégation de partie (ATF 141 III 433 consid. 2.5.2 et 2.5.3).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Les mêmes principes s’appliquent mutatis mutandis aux allégations précises résultant du rapport d’un médecin traitant (cf. arrêt du Tribunal fédéral 4A_42/2017 du 29 janvier 2018, consid. 3.3.3 non publié à l’ATF 144 III 136).</w:t>
      </w:r>
    </w:p>
    <w:p>
      <w:r>
        <w:rPr>
          <w:b/>
        </w:rPr>
        <w:t>E. 8.1</w:t>
      </w:r>
    </w:p>
    <w:p>
      <w:r>
        <w:t>Depuis l'entrée en vigueur de la LAMal, le 1er janvier 1996, les assurances complémentaires à l'assurance-maladie sociale au sens de cette loi sont soumises au droit privé, plus particulièrement à la LCA (ATF 124 III 44 consid. 1a/aa). Comme l'art. 100 al. 1 LCA renvoie au CO pour tout ce que la LCA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w:t>
      </w:r>
    </w:p>
    <w:p>
      <w:r>
        <w:rPr>
          <w:b/>
        </w:rPr>
        <w:t>E. 8.2</w:t>
      </w:r>
    </w:p>
    <w:p>
      <w:r>
        <w:t>En l’espèce, la police d’assurance (n° U46.2.024.933) prévoit une indemnité journalière en cas de maladie s’élevant à 80% du salaire assuré, versée pendant 730 jours au maximum, après un délai d’attente de 30 jours. Selon l’art. 4 al. 1 1er paragraphe des CGA, auxquelles renvoie la police d’assurance précitée, « est considérée comme maladie toute atteinte à la santé physique, mentale ou psychique qui n’est pas due à un accident et qui exige un examen ou un traitement médical ou provoque une incapacité de travail ». Selon l’al. 4 de la même disposition, « est considérée comme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En cas de durée plus longue, et au plus tard après six mois, l’activité qui peut raisonnablement être exigée dans une autre profession ou un</w:t>
      </w:r>
    </w:p>
    <w:p>
      <w:r>
        <w:t>A/2243/2022 - 16/20 - autre domaine d’activité sur le marché du travail équilibré est également prise en considération. Pour juger de la présence d’une incapacité de travail, sont exclusivement prises en compte les conséquences de l’atteinte à la santé. Les facteurs étrangers à la maladie ne sont pas pris en compte. De plus, il n’y a incapacité de travail que si celle-ci n’est pas objectivement surmontable ».</w:t>
      </w:r>
    </w:p>
    <w:p>
      <w:r>
        <w:rPr>
          <w:b/>
        </w:rPr>
        <w:t>E. 9.1</w:t>
      </w:r>
    </w:p>
    <w:p>
      <w:r>
        <w:t>En l’occurrence, la défenderesse a versé des indemnités journalières à la demanderesse sur la base des certificats d’arrêt de travail et des rapports établis par les Drs C______, médecin traitant, et D______, psychiatre traitante, pour la période du 12 mai au 15 juin 2021, puis, sans reconnaissance d’une incapacité de travail, jusqu’au 30 novembre 2021. Elle a cessé de prester en se référant aux rapports de ses médecins-conseils, ainsi que de celui du Dr E______, qu’elle avait mandaté pour examiner l’assurée.</w:t>
      </w:r>
    </w:p>
    <w:p>
      <w:r>
        <w:rPr>
          <w:b/>
        </w:rPr>
        <w:t>E. 9.2</w:t>
      </w:r>
    </w:p>
    <w:p>
      <w:r>
        <w:t>La demanderesse, pour sa part, conclut au paiement des indemnités journalières auxquelles elle prétend avoir droit à 100% du 1er décembre 2021 au 30 juin 2022 et à 50% du 1er juillet 2022 au 4 novembre 2022, en se référant notamment aux avis de ses médecins traitants précités, et en contestant la valeur probante du rapport du Dr E______.</w:t>
      </w:r>
    </w:p>
    <w:p>
      <w:r>
        <w:rPr>
          <w:b/>
        </w:rPr>
        <w:t>E. 9.3</w:t>
      </w:r>
    </w:p>
    <w:p>
      <w:r>
        <w:t>Le rapport du Dr E______, établi en pleine connaissance du dossier, se fonde sur une anamnèse détaillée, un examen clinique de la demanderesse et tient compte des plaintes rapportées par cette dernière. Le vocabulaire utilisé par le médecin n’a pas pour but d’orienter vers ses conclusions, contrairement à ce que soutient la demanderesse, mais apparaît approprié pour décrire des faits et rapporter les constatations médicales de l’examinateur, desquelles découlent des conclusions qu’il a dument motivées. La seule éventuelle mention erronée du mode de transport utilisé par la demanderesse pour se rendre à son cabinet n’est pas suffisante pour remettre en question les conclusions du rapport, dans la mesure où non seulement la question de la capacité à conduire un véhicule à moteur n’est pas déterminante en l’espèce, mais que de surcroît la demanderesse n’a pas nié conduire à l’époque concernée, seule cette occasion précise étant litigieuse. Le terme « appréhension » utilisé par le médecin pour qualifier le sentiment exprimé par la demanderesse en lien avec la reprise d’un emploi est, contrairement à ce que prétend l’intéressée, choisi à bon escient, puisqu’une anxiété persistante à ce sujet est écartée par le spécialiste. Cette conclusion est d’ailleurs corroborée par la psychiatre traitante. Le Dr E______ a exposé les différents critères diagnostics permettant de retenir un trouble de l’adaptation, réaction mixte anxieuse et dépressive et a expliqué de manière détaillée pour quels motifs la plupart desdits critères n’étaient pas remplis. La Dre D______, lors de son audition par la chambre de céans, ne l’a d’ailleurs pas contredit, reconnaissant que seuls subsistaient, déjà à l’été 2021, des troubles de la concentration, ainsi qu’une importante fatigue. Il a expliqué de</w:t>
      </w:r>
    </w:p>
    <w:p>
      <w:r>
        <w:t>A/2243/2022 - 17/20 - manière convaincante que ces symptômes n’étaient à eux seuls constitutifs d’aucune pathologie psychiatrique reconnue et qu’en conséquence, aucune incapacité de travail ne pouvait être retenue au titre d’affection psychique. Cette considération est par ailleurs renforcée par la remarque du Dr C______, lequel – tout en se référant au rapport du Dr E______ s’agissant de la description d’une journée-type – mentionnait l’absence d’impact des symptômes sur la vie privée de sa patiente. La possible dysthymie évoquée par le Dr G______, neurologue, est impropre à ébranler les conclusions du Dr E______. En effet, non seulement la jurisprudence retient qu’une dysthymie n’est susceptible d'entraîner une diminution de la capacité de travail que lorsqu'elle se présente avec d'autres affections faisant défaut au cas d’espèce (ATF 143 V 418 et arrêt du Tribunal fédéral 9C_146/2015), mais surtout ce diagnostic ne saurait entrer en considération en présence d’une thymie neutre confirmée par la psychiatre traitante depuis juillet 2021 (rapport du 27 septembre 2021). La Dre D______ avait d’ailleurs prescrit l’antidépresseur à demi-dose et spécifiquement pour son action sur les troubles cognitifs, ce qui vient corroborer l’absence de symptômes de la lignée dépressive à tout le moins depuis l’été 2021. Dans cette mesure, les psychiatres se rejoignent, à quelques jours près, sur le moment à partir duquel les symptômes incapacitants de nature psychiatrique se sont amendés. Le fait que le Dr E______ retienne une récupération de la capacité de travail, d’un point de vue psychiatrique exclusivement, le 15 juin 2021, plutôt que le 30 ou le 15 juillet 2021 n’est dès lors pas déterminant pour juger de la valeur probante de son rapport, ce d’autant que cela s’est finalement révélé sans conséquence sur la suppression des prestations par l’intimée, celle-ci ayant continué à verser les indemnités journalières jusqu’au 30 novembre 2021. Or, cette date correspond à la fin de l’incapacité de travail retenue par la psychiatre traitante elle-même du point de vue de sa seule spécialité. Quant à l’avis du Dr C______ sur l’aptitude de la demanderesse à accomplir ses tâches professionnelles, il n’est pas non plus de nature à faire douter des conclusions du Dr E______. En effet, ce médecin, dont la spécialité n’est pas la psychiatrie, a déclaré à la chambre de céans que la persistance des troubles de la concentration et de la fatigue étaient, de son point de vue, à mettre en lien avec le licenciement et le conflit opposant la demanderesse à l’intimée. Or, il s’agit là de facteurs étrangers dont la défenderesse n’a pas à répondre (cf. art. 4 al. 4 CGA). Enfin, la persistance des perturbations émotionnelles alléguée par la demanderesse sous forme d’accès de colère est démentie tant par le Dr E______ que par la Dre D______. Il suit de ce qui précède que les conclusions du rapport du Dr E______, au demeurant confirmées par le Dr I______, emportent conviction et qu’il convient de retenir que la demanderesse ne présentait plus, à la date de suppression des prestations, d’incapacité de travail du point de vue psychiatrique.</w:t>
      </w:r>
    </w:p>
    <w:p>
      <w:r>
        <w:t>A/2243/2022 - 18/20 -</w:t>
      </w:r>
    </w:p>
    <w:p>
      <w:r>
        <w:rPr>
          <w:b/>
        </w:rPr>
        <w:t>E. 9.4</w:t>
      </w:r>
    </w:p>
    <w:p>
      <w:r>
        <w:t>Le Dr E______ a en revanche réservé une incapacité de travail justifiée par une pathologie d’ordre somatique, mentionnant notamment une anémie ferriprive, un syndrome de la ménopause et un trouble intrinsèque du sommeil. À ce propos, il sied de relever que les troubles du sommeil supposés ont été écartés par un examen polysomnographique effectué en août 2021. À cette occasion, la demanderesse a d’ailleurs déclaré au Dr F______ avoir un bon sommeil. Le Dr C______, qui a confirmé la compensation de l’anémie ferriprive par les injections du point de vue biologique, a nié l’effet de ces dernières sur la clinique. Or, ce même médecin a aussi relaté une amplification des plaintes de la demanderesse (audience du 26 février 2024), ce qui relativise les propos tenus par l’intéressée à son médecin traitant et à sa psychiatre, ce d’autant qu’elle avait exposé une amélioration de sa fatigue au Dr F______ en août 2021. Les autres investigations n’ont pas permis de mettre en évidence une quelconque pathologie incapacitante. En particulier, l’ensemble des examens neurologiques s’est révélé dans la norme. Les tests neuropsychologiques de septembre 2021 n’ont mis en évidence qu’un défaut d’attention sélective visuelle. Des problèmes cognitifs importants ont été écartés, singulièrement s’agissant de la mémoire, de la fatigabilité et de la concentration. À ce dernier propos, les limitations fonctionnelles décrites par la Dre D______ l’ont été sur la seule base des déclarations de sa patiente, sans qu’elle n’ait elle-même constaté de difficultés de ce type lors des multiples entretiens qu’elle a eus avec elle, et sont valablement contredites par les tests spécialisés réalisés. Les déficits allégués en neurotransmetteurs ne sont pas démontrés. Ils reposent sur un questionnaire déclaratif – soit sur les seules allégations de la demanderesse – effectué par un hypnothérapeute, sans vérification par un médecin, ni attestation d’incapacité de travail médicale expressément liée à cette prétendue carence. La question du défaut de neurotransmetteurs est un objet de recherche médicale (cf. déclarations de la Dre D______ à l’audience du 26 février 2024), et ne fait donc pas (encore) l’objet d’un consensus médical. Selon la psychiatre précitée, il n’existe d’ailleurs pas de protocole validé pour une supplémentation, à l’exception de la sérotonine et de la dopamine via les antidépresseurs. Dans ces circonstances, une éventuelle influence du défaut de neurotransmetteurs sur la capacité de travail n’a pas à être investiguée plus avant, faute de pouvoir obtenir un avis reconnu scientifiquement. Quant au syndrome de la ménopause, le médecin traitant n’en a pas fait état dans ses rapports à la défenderesse. Entendu par la chambre de céans, il a mentionné comme ayant une influence sur la capacité de travail exclusivement des symptômes liés au trouble de l’adaptation (outre des facteurs externes). Dans cette mesure, l’hypothèse mentionnée par le Dr E______ n’est pas confirmée et cette</w:t>
      </w:r>
    </w:p>
    <w:p>
      <w:r>
        <w:t>A/2243/2022 - 19/20 - affection ne saurait se voir reconnaître une quelconque influence déterminante sur l’aptitude de la demanderesse à accomplir son travail. Enfin, la Dre L______ a clairement signifié que la candidose diagnostiquée par ses soins n’entraînait aucune incapacité de travail.</w:t>
      </w:r>
    </w:p>
    <w:p>
      <w:r>
        <w:rPr>
          <w:b/>
        </w:rPr>
        <w:t>E. 9.5</w:t>
      </w:r>
    </w:p>
    <w:p>
      <w:r>
        <w:t>Il suit de ce qui précède qu’il n’est pas nécessaire de procéder aux mesures d’instruction offertes, et en particulier à l’expertise multidisciplinaire requise par la demanderesse, le dossier permettant de statuer sur le droit litigieux. Ces mesures ne pourraient amener la chambre de céans à modifier son appréciation (appréciation anticipée des preuves ; ARD 138 III 374 consid. 4.3.2)</w:t>
      </w:r>
    </w:p>
    <w:p>
      <w:r>
        <w:rPr>
          <w:b/>
        </w:rPr>
        <w:t>E. 9.6</w:t>
      </w:r>
    </w:p>
    <w:p>
      <w:r>
        <w:t>Pour l’ensemble des motifs exposés, il convient de débouter la demanderesse de sa conclusion tendant au paiement d’indemnités journalières au-delà du 30 novembre 2021, l’intéressée ayant pleinement recouvré sa capacité de travail à cette date. Cette conclusion est au demeurant celle à laquelle sont parvenus les organes de l’assurance-invalidité et de l’assurance-chômage, les premiers ayant estimé que la demanderesse ne présentait aucune atteinte à sa santé invalidante et les seconds l’ayant considérée comme apte au placement à plein temps. La demanderesse ne s’est pas opposée à ces décisions, de manière contradictoire avec la position adoptée vis-à-vis de la défenderesse.</w:t>
      </w:r>
    </w:p>
    <w:p>
      <w:r>
        <w:rPr>
          <w:b/>
        </w:rPr>
        <w:t>E. 10</w:t>
      </w:r>
    </w:p>
    <w:p>
      <w:r>
        <w:t>La demande doit dès lors être rejetée. Pour le surplus, il n'est pas alloué de dépens à la charge de la demanderesse (art. 22 al. 3 let. b de la loi d'application du code civil suisse et d’autres lois fédérales en matière civile du 11 octobre 2012 [LaCC - E 1 05]), ni perçu de frais judiciaires (art. 114 let. e CPC).</w:t>
      </w:r>
    </w:p>
    <w:p>
      <w:r>
        <w:t>***</w:t>
      </w:r>
    </w:p>
    <w:p>
      <w:r>
        <w:t>A/2243/2022 - 20/20 -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