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ATAS/332/2023 vom 16. Mai 2023</w:t>
      </w:r>
    </w:p>
    <w:p>
      <w:r>
        <w:t>GE Cour de justice, 2023-05-16, FR</w:t>
      </w:r>
    </w:p>
    <w:p>
      <w:r>
        <w:rPr>
          <w:b/>
        </w:rPr>
        <w:t xml:space="preserve">Quelle: </w:t>
      </w:r>
      <w:r>
        <w:t>https://mcp.opencaselaw.ch/entscheid/ge_gerichte_ATAS_332_2023</w:t>
      </w:r>
    </w:p>
    <w:p>
      <w:r>
        <w:t>FR: GE_GERICHTE ATAS/332/2023 du 16 mai 2023</w:t>
      </w:r>
    </w:p>
    <w:p>
      <w:r>
        <w:t>IT: GE_GERICHTE ATAS/332/2023 del 16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(du 10 mars 2022) a été interjeté postérieurement au 1er janvier 2021, il est soumis au nouveau droit (cf. art. 82a LPGA a contrario).</w:t>
      </w:r>
    </w:p>
    <w:p>
      <w:r>
        <w:rPr>
          <w:b/>
        </w:rPr>
        <w:t>E. 4</w:t>
      </w:r>
    </w:p>
    <w:p>
      <w:r>
        <w:t>Le délai de recours est de trente jours (art. 60 al. 1 LPGA ; art. 62 al. 1 let. a de la loi sur la procédure administrative du 12 septembre 1985 [LPA - E 5 10]). Interjeté dans la forme (art. 61 let. b LPGA) et le délai prévus par la loi, le recours est recevable.</w:t>
      </w:r>
    </w:p>
    <w:p>
      <w:r>
        <w:rPr>
          <w:b/>
        </w:rPr>
        <w:t>E. 5</w:t>
      </w:r>
    </w:p>
    <w:p>
      <w:r>
        <w:t>Le litige porte sur le degré d'invalidité de la recourante.</w:t>
      </w:r>
    </w:p>
    <w:p>
      <w:r>
        <w:rPr>
          <w:b/>
        </w:rPr>
        <w:t>E. 6</w:t>
      </w:r>
    </w:p>
    <w:p>
      <w:r>
        <w:t>A/779/2022 - 4/19 -</w:t>
      </w:r>
    </w:p>
    <w:p>
      <w:r>
        <w:rPr>
          <w:b/>
        </w:rPr>
        <w:t>E. 6.1</w:t>
      </w:r>
    </w:p>
    <w:p>
      <w:r>
        <w:t>Le 1er janvier 2022, sont entrées en vigueur les modifications de la LAI du 19 juin 2020 (développement continu de l’AI ; RO 2021 705), ainsi que celles du 3 novembre 2021 du règlement sur l’assurance-invalidité du 17 janvier 1961 (RAI - RS 831.201 ; RO 2021 706).</w:t>
      </w:r>
    </w:p>
    <w:p>
      <w:r>
        <w:rPr>
          <w:b/>
        </w:rPr>
        <w:t>E. 6.2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6.2.1</w:t>
      </w:r>
    </w:p>
    <w:p>
      <w:r>
        <w:t>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w:t>
      </w:r>
    </w:p>
    <w:p>
      <w:r>
        <w:rPr>
          <w:b/>
        </w:rPr>
        <w:t>E. 6.2.2</w:t>
      </w:r>
    </w:p>
    <w:p>
      <w:r>
        <w:t>ci-dessus. Par ailleurs, la lettre c de ces dispositions transitoires n'autorise pas un cas de rétroactivité improprement dite. Certes, le nouveau droit se rattache à des faits nés sous l'ancien droit (la naissance du droit à la rente avant le 1er janvier 2022), qui déploient des effets dans la durée (versement des rentes). Toutefois, cette disposition a précisément pour but de garantir les droits acquis des assurés ayant atteint l'âge de 55 ans au 1er janvier 2022 et dont le droit à la rente est né antérieurement à cette date. Autrement dit, la garantie des droits acquis pour ces assurés-ci fait échec à l'application du nouveau système de rentes à une situation durable née avant le 1er janvier 2022. La recourante confond deux notions : la naissance du droit à la rente et le versement de la rente. La rente d'invalidité ne peut être versée conformément à l'art. 29 al. 3 LAI (soit dès le début du mois au cours duquel le droit prend</w:t>
      </w:r>
    </w:p>
    <w:p>
      <w:r>
        <w:t>A/779/2022 - 8/19 - naissance), qu'à condition que l'assuré ait présenté sa demande dans le délai de six mois avant l'expiration du délai d'attente d'une année (qui commence à courir à la date de l'incapacité de travail durable [cf. art. 28 al. 1 let. b LAI]). Si l'assuré dépose sa demande à l'office AI plus de six mois après le début de son incapacité de travail (ou du délai d'attente), il s'agit d'une demande tardive, ayant pour conséquence la perte du droit à la rente pour chaque mois de retard (ATAS/423/2020 du 27 mai 2020 consid. 19b). En l'occurrence, la recourante a présenté une incapacité de travail depuis le</w:t>
      </w:r>
    </w:p>
    <w:p>
      <w:r>
        <w:rPr>
          <w:b/>
        </w:rPr>
        <w:t>E. 6.3</w:t>
      </w:r>
    </w:p>
    <w:p>
      <w:r>
        <w:t>La recourante conteste l'application de l'ancien droit, au motif qu'il lui est défavorable. Elle constate qu'un degré d'invalidité de 48%, reconnu par l'intimé, lui ouvrirait le droit à une quotité de rente de 45% selon le nouveau droit, laquelle n'est que de 25% au regard du droit actuel. Elle considère que cette situation ne semble ni être une conséquence voulue ni même appréhendée par le législateur. Elle se prévaut de la violation du principe d'égalité de traitement, en soutenant qu'un assuré présentant le même taux d'invalidité qu'elle ayant déposé une demande de prestations six mois après elle bénéficierait du système de rentes linéaire. Elle ajoute que les nouvelles dispositions sont entrées en vigueur seulement six mois après la naissance de son droit à la rente en juillet 2021, si bien que l'écrasante majorité de ses rentes mensuelles prendront naissance après l'avènement du nouveau droit. Par ailleurs, l'application littérale du droit transitoire, dans l'hypothèse d'une péjoration de son état de santé avec pour conséquence une réévaluation de son taux d'invalidité, ne lui permettrait pas, vu son âge, d'être mise au bénéfice d'une rente linéaire. Pour ces motifs, elle invoque une application arbitraire du droit.</w:t>
      </w:r>
    </w:p>
    <w:p>
      <w:r>
        <w:rPr>
          <w:b/>
        </w:rPr>
        <w:t>E. 6.3.1</w:t>
      </w:r>
    </w:p>
    <w:p>
      <w:r>
        <w:t>En vertu de l’art. 28 al. 2 LAI (dans sa teneur en vigueur du 1er janvier 2008 au 31 décembre 2021 ; antérieurement : art. 28 al. 1 LAI dans sa teneur du 1er janvier 2004 [4e révision AI] au 31 décembre 2007), l’assuré a droit à une rente entière s’il est invalide à 70% au moins, à un trois quarts de rente s'il est invalide à 60% au moins, à une demi-rente s’il est invalide à 50% au moins, ou à un quart de rente s’il est invalide à 40% au moins. Selon l’art. 28b LAI, en vigueur depuis le 1er janvier 2022, la quotité de la rente est fixée en pourcentage d’une rente entière (al. 1). Pour un taux d’invalidité</w:t>
      </w:r>
    </w:p>
    <w:p>
      <w:r>
        <w:t>A/779/2022 - 5/19 -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w:t>
      </w:r>
    </w:p>
    <w:p>
      <w:r>
        <w:rPr>
          <w:b/>
        </w:rPr>
        <w:t>E. 6.3.2</w:t>
      </w:r>
    </w:p>
    <w:p>
      <w:r>
        <w:t>L’art. 1 al. 1 du Titre final du Code civil suisse du 10 décembre 1907 (CC - RS 210) consacre le principe de non-rétroactivité des lois. Selon ce principe, en l’absence de dispositions transitoires particulières, l’interdiction de la rétroactivité fait obstacle à l'application d'une nouvelle disposition légale à des faits entièrement révolus avant son adoption (rétroactivité proprement dite) ; il est en revanche admissible d'appliquer la nouvelle norme à des faits ayant pris naissance sous l'empire du droit antérieur, mais qui déploient encore des effets sous le nouveau droit (rétroactivité improprement dite), sous réserve des droits acquis (ATF 140 V 154 consid. 6.3.2). Le principe de la lex mitior - soit l’application de la loi la plus favorable au justiciable - est une exception au principe de la non-rétroactivité des lois. Il est soumis aux conditions auxquelles la doctrine et la jurisprudence subordonnent l'admissibilité de la rétroactivité des dispositions légales, soit notamment que cette rétroactivité soit expressément prévue par la loi ou qu’elle découle clairement de son sens. Le principe de la lex mitior est admis principalement en droit pénal, dès lors qu’il a été explicitement consacré par le législateur à l'art. 2 al. 2 du Code pénal suisse du 21 décembre 1937 (CP - RS 311.0 ; ATF 102 Ib 335 consid. 2b). Il s’applique également en cas de sanctions disciplinaires (ATF 130 II 270 consid. 1.2.2 ; arrêt du Tribunal fédéral 2C_66/2013 du 7 mai 2013 consid. 5).</w:t>
      </w:r>
    </w:p>
    <w:p>
      <w:r>
        <w:rPr>
          <w:b/>
        </w:rPr>
        <w:t>E. 6.3.3</w:t>
      </w:r>
    </w:p>
    <w:p>
      <w:r>
        <w:t>La protection de l'égalité (art. 8 de la Constitution fédérale de la Confédération suisse du 18 avril 1999 [Cst. - RS 101]) et celle contre l'arbitraire (art. 9 Cst.) sont étroitement liées. Une norme est arbitraire lorsqu'elle ne repose pas sur des motifs sérieux ou si elle est dépourvue de sens et de but (ATF 136 I 241 consid. 3.1).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w:t>
      </w:r>
    </w:p>
    <w:p>
      <w:r>
        <w:rPr>
          <w:b/>
        </w:rPr>
        <w:t>E. 6.3.4</w:t>
      </w:r>
    </w:p>
    <w:p>
      <w:r>
        <w:t>Les dispositions transitoires de la modification du 19 juin 2020 ont la teneur suivante : « a. Garantie des droits acquis s’agissant des indemnités journalières versées pour des mesures de réadaptation en cours Les indemnités journalières octroyées à l’entrée en vigueur de la présente modification conformément aux art. 22, al. 1bis, et 23, al. 2 et 2bis, de l’ancien droit continuent d’être versées jusqu’à l’interruption ou l’achèvement de la mesure ayant justifié leur versement. b. Adaptation des rentes en cours pour les bénéficiaires âgés de moins de 55 ans</w:t>
      </w:r>
    </w:p>
    <w:p>
      <w:r>
        <w:t>A/779/2022 - 6/19 - 1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2 La quotité de la rente reste également inchangée après une modification du taux d’invalidité au sens de l’art. 17, al. 1, LPGA si l’application de l’art. 28b de la présente loi se traduit par une baisse de la rente en cas d’augmentation du taux d’invalidité ou par une augmentation de la rente en cas de réduction. 3 Pour les bénéficiaires de rente dont le droit à la rente est né avant l’entrée en vigueur de la présente modification et qui n’avaient pas encore 30 ans à l’entrée en vigueur de cette modification, la réglementation relative au droit à la rente conformément à l’art. 28b de la présente loi s’applique au plus tard dix ans après ladite entrée en vigueur. En cas de baisse du montant de la rente par rapport au montant versé jusque-là, l’ancien montant continue d’être versé tant que le taux d’invalidité ne subit pas de modification au sens de l’art. 17, al. 1, LPGA. c. Exemption de l’adaptation des rentes en cours pour les bénéficiaires âgés d’au moins 55 ans Pour les bénéficiaires de rente dont le droit à la rente est né avant l’entrée en vigueur de la présente modification et qui avaient au moins 55 ans à l’entrée en vigueur de cette modification, l’ancien droit reste applicable ».</w:t>
      </w:r>
    </w:p>
    <w:p>
      <w:r>
        <w:rPr>
          <w:b/>
        </w:rPr>
        <w:t>E. 6.3.5</w:t>
      </w:r>
    </w:p>
    <w:p>
      <w:r>
        <w:t>Le régime transitoire distingue trois groupes d'assurés, dont le droit à la rente est né avant le 1er janvier 2022, en fonction de leur âge à l'entrée en vigueur de cette modification.</w:t>
      </w:r>
    </w:p>
    <w:p>
      <w:r>
        <w:rPr>
          <w:b/>
        </w:rPr>
        <w:t>E. 6.3.5.1</w:t>
      </w:r>
    </w:p>
    <w:p>
      <w:r>
        <w:t>Dans son message concernant la modification de la loi fédérale sur l'assurance-invalidité (Développement continu de l'AI) du 15 février 2017, le Conseil fédéral proposait une adaptation des rentes en cours pour les bénéficiaires âgés de moins de 60 ans (lettre b des dispositions transitoires) et une exemption de l’adaptation des rentes en cours pour les bénéficiaires âgés d’au moins 60 ans (lettre c ; FF 2017 2363 p. 2504). Selon lui, les bénéficiaires de rente âgés de 60 ans et plus à l’entrée en vigueur de la révision de la loi jouiront de la garantie des droits acquis ; la quotité de la rente à laquelle ils ont droit restera conforme aux dispositions du droit actuel. Tout changement affectant leur situation continuera d’être pris en considération et déclenchera, le cas échéant, une révision des prestations. Cela vaut pour les changements concernant leur situation personnelle (mariage, divorce, veuvage, augmentation ou suppression des rentes pour enfant, adaptation périodique des rentes, etc.) et susceptibles d’entraîner une modification du montant de la rente. Les modifications tenant à la situation objective de la personne (une détérioration de son état de santé, par ex.) entraîneront aussi une révision, mais la quotité de la rente continuera de se calculer en vertu des dispositions du droit actuel (FF 2017 2363 p. 2504-2505). À titre d'illustrations, le Conseil fédéral citait les deux exemples suivants (FF 2017 2363 p. 2505) :</w:t>
      </w:r>
    </w:p>
    <w:p>
      <w:r>
        <w:t>A/779/2022 - 7/19 - Exemple 1 : Un assuré touche une demi-rente en raison d’un taux d’invalidité de 53%. Il a plus de 60 ans à l’entrée en vigueur des nouvelles dispositions et continue en conséquence de percevoir sa demi-rente (droit acquis). Par la suite, sa situation se modifie de telle sorte que l’office AI constate un taux d’invalidité de 64%. Comme la rente est encore servie en vertu des dispositions du droit actuel, l’assuré touche alors trois quarts de rente (75% d’une rente entière et non pas 64% comme ce serait le cas conformément aux nouvelles dispositions). Exemple 2 : Une assurée perçoit une rente entière en raison d’un taux d’invalidité de 72%. Elle a plus de 60 ans à l’entrée en vigueur des nouvelles dispositions et continue en conséquence de percevoir sa rente entière (droit acquis). Par la suite, sa situation se modifie de telle sorte que l’office AI constate, lors d’une révision, un taux d’invalidité de 61%. Comme la rente est encore servie en vertu des dispositions du droit actuel, l’assurée touche alors trois quarts de rente (75% d’une rente entière et non pas 61% comme ce serait le cas conformément aux nouvelles dispositions). Au terme des délibérations parlementaires, le législateur a approuvé les dispositions transitoires proposées, sous réserve que les rentes en cours soient adaptées selon la lettre b al. 1 et 2 des dispositions transitoires pour les bénéficiaires âgés de moins de 55 ans et l'exemption de l'adaptation des rentes en cours selon la lettre c pour les bénéficiaires âgés d'au moins 55 ans. La baisse de l'âge (de 60 ans à 55 ans) était motivée notamment par le fait qu'il est plus difficile pour les bénéficiaires de rentes AI de trouver un emploi après l'âge de 55 ans (cf. Joachim EDER, BO 2019 CE 798 ; Benjamin RODUIT, BO 2019 CN 2193). Ainsi, la lettre c des dispositions transitoires introduit la garantie des droits acquis dès l'âge de 55 ans. En d'autres termes, les rentes des assurés ayant atteint 55 ans lors de l'entrée en vigueur de la modification de la LAI ne passent pas au nouveau système, conformément à la volonté du législateur.</w:t>
      </w:r>
    </w:p>
    <w:p>
      <w:r>
        <w:rPr>
          <w:b/>
        </w:rPr>
        <w:t>E. 6.3.5.2</w:t>
      </w:r>
    </w:p>
    <w:p>
      <w:r>
        <w:t>Force est de constater qu'il n'existe aucune réglementation transitoire rendant le nouveau droit applicable à la situation de la recourante, qui est régie par la lettre c des dispositions transitoires pour les motifs exposés au consid. 6.2.1 -</w:t>
      </w:r>
    </w:p>
    <w:p>
      <w:r>
        <w:rPr>
          <w:b/>
        </w:rPr>
        <w:t>E. 7</w:t>
      </w:r>
    </w:p>
    <w:p>
      <w:r>
        <w:t>novembre 2019, d'abord à 100% puis à 50%, étant relevé que l'essai de reprise de travail au taux habituel du 2 mai au 30 juin 2020, qui a échoué, n'a pas interrompu le délai de carence (cf. art. 28 al. 1 let. b LAI) même s'il a duré plus de 30 jours (cf. arrêt du Tribunal fédéral des assurances I.238/05 du 2 novembre 2005 consid. 2.2). Ainsi, à l'échéance du délai d'attente d'un an en novembre 2020, date à laquelle naît le droit à la rente, la recourante pouvait en principe prétendre à sa rente d'invalidité. Toutefois, comme elle a déposé sa demande de prestations le</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w:t>
      </w:r>
    </w:p>
    <w:p>
      <w:r>
        <w:rPr>
          <w:b/>
        </w:rPr>
        <w:t>E. 7.3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w:t>
      </w:r>
    </w:p>
    <w:p>
      <w:r>
        <w:t>A/779/2022 - 10/19 - des effets sur la capacité de gain de l'assuré (arrêt du Tribunal fédéral des assurances I.654/00 du 9 avril 2001 consid. 1). 8.</w:t>
      </w:r>
    </w:p>
    <w:p>
      <w:r>
        <w:t>8.1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10.</w:t>
      </w:r>
    </w:p>
    <w:p>
      <w:r>
        <w:t>10.1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w:t>
      </w:r>
    </w:p>
    <w:p>
      <w:r>
        <w:t>A/779/2022 - 11/19 - degré d'invalidité d'après le handicap dont l'assuré est affecté dans les deux activités en question (art. 28a al. 3 LAI en corrélation avec l'art. 27bis RAI, ainsi que les art. 16 LPGA et 28a al. 2 LAI en corrélation avec les art. 27 RAI et 8 al. 3 LPGA). 10.2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10.3 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t>A/779/2022 - 12/19 - 10.4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11.</w:t>
      </w:r>
    </w:p>
    <w:p>
      <w:r>
        <w:t>11.1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11.2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 du Tribunal fédéral</w:t>
      </w:r>
    </w:p>
    <w:p>
      <w:r>
        <w:t>A/779/2022 - 13/19 - 9C_625/2017 du 26 mars 2018 consid. 6.2 et arrêt du Tribunal fédéral des assurances I.733/06 du 16 juillet 2007). 11.3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11.4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w:t>
      </w:r>
    </w:p>
    <w:p>
      <w:r>
        <w:t>A/779/2022 - 14/19 -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I.308/04 déjà cité et I.681/02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I.257/04 du 17 mars 2005 consid. 5.4.4).</w:t>
      </w:r>
    </w:p>
    <w:p>
      <w:r>
        <w:rPr>
          <w:b/>
        </w:rPr>
        <w:t>E. 12</w:t>
      </w:r>
    </w:p>
    <w:p>
      <w:r>
        <w:t>janvier 2021, soit plus de six mois après le début de son incapacité de travail durable le 7 novembre 2019, la rente ne peut lui être versée au plus tôt que le 1er juillet 2021. Autrement dit, contrairement à ce que paraît croire la recourante, son droit à la rente n'est pas né en juillet 2021, ni sous l'empire du nouveau droit du fait que les rentes lui sont versées également après le 1er janvier 2022. La recourante ne peut rien tirer en sa faveur, sous l'angle du principe d'égalité de traitement, de la comparaison de sa situation avec celle d'un assuré (du même âge) ayant le même taux d'invalidité, soumis au nouveau système de rentes (dans la mesure où le droit à la rente de celui-ci est né après le 1er janvier 2022), dès lors qu'ils ne sont pas assujettis au même régime. C'est le propre d'un changement de législation (ou d'un régime transitoire comme en l'espèce) d'introduire des différences entre des situations (comparables) qui ont pris naissance avant ou après certaines dates. Ces différences ne sont pas en tant que telles contraires à l'égalité de traitement (arrêt du Tribunal fédéral 2C_437/2017 du 5 février 2018 consid. 3.2 et les références). Contrairement à ce que pense la recourante, les assurés qui tombent sous le coup de l'ancien droit, qui présentent, lors d'une révision, une aggravation de leur taux d'invalidité, compris entre 60 et 69%, se verront octroyer un trois quarts de rente (75% d'une rente entière), alors que les assurés dont le droit à la rente est né après le 1er janvier 2022 ayant un taux d'invalidité compris entre 60 et 69% ne percevront dans le nouveau système qu'une rente correspondant au taux d'invalidité (c'est-à-dire inférieure à 75% d'une rente entière). Ainsi, selon les circonstances, l'ancien système de rentes n'est pas absolument désavantageux pour les assurés qui y sont soumis. Au demeurant, c'est le lieu de rappeler que nombre de dispositions légales contiennent des limites d'âge que ce soit pour la reconnaissance d'un droit, l'accomplissement d'une obligation ou l'obtention d'une prestation. De telles</w:t>
      </w:r>
    </w:p>
    <w:p>
      <w:r>
        <w:t>A/779/2022 - 9/19 - distinctions sont souvent justifiées ou même imposées par les circonstances, des minima ou des maxima étant par la force des choses inévitables. En matière de rentes ou de prestations d'assurances sociales en général, il n'est pas rare que la loi subordonne l'ouverture ou l'extinction d'un droit à une limite d'âge. De telles règles, à l'instar, par exemple, de celles fixant une durée minimale d'activité, de cotisation, de domicile ou encore de séjour, permettent de garantir le respect du principe de la légalité et d'assurer l'égalité de traitement ainsi que l'objectivité des critères d'attribution d'une prestation même si, fatalement, elles ont des conséquences sur les droits des personnes qui ne remplissent pas les conditions requises (arrêt du Tribunal fédéral 8C_495/2011 du 13 décembre 2011 consid. 4.3 et les références). Pour le surplus, la recourante ne prétend pas que d'autres assurés, ayant 55 ans ou plus au 1er janvier 2022, au bénéfice d'une rente d'invalidité avant cette date, auraient été soumis au nouveau système de rentes depuis lors. La lettre c des dispositions transitoires de la modification de la LAI du 19 juin 2020 n'est ainsi pas constitutive d'inégalité de traitement, et échappe au grief d'arbitraire, sinon des changements de législation ne pourront jamais avoir lieu. Par conséquent, le présent cas doit bel et bien être examiné à l'aune de l'ancien droit. 7.</w:t>
      </w:r>
    </w:p>
    <w:p>
      <w:r>
        <w:rPr>
          <w:b/>
        </w:rPr>
        <w:t>E. 12.1</w:t>
      </w:r>
    </w:p>
    <w:p>
      <w:r>
        <w:t>La recourante ne conteste ‒ à juste titre ‒ pas le statut mixte retenu (80% dans l'activité lucrative et 20% dans l'activité ménagère) : elle a déclaré à l'enquêtrice que, sans atteinte à la santé, elle travaillerait à 80% par choix personnel (dossier intimé p. 192). À juste titre, la recourante ne remet pas non plus en cause son degré d'invalidité dans la sphère professionnelle (48%). En effet, elle dispose d'une capacité résiduelle de travail de 40% (50% de son taux d'activité usuel), qui est exploitable dans son activité habituelle, laquelle est adaptée à son état de santé selon ses médecins traitants (dossier intimé p. 118-119 et 162). Dans la mesure où le revenu sans invalidité correspondant au taux d'activité de 80% est extrapolé pour un taux d'activité de 100% (art. 27bis al. 3 let. a RAI), le degré d'invalidité se confond avec l'incapacité de travail (dans ce sens : ATAS/423/2020 du 27 mai 2020 consid. 18b/dd), soit en l'espèce 60%. Compte tenu de la part professionnelle de 80%, le taux d'invalidité dans la sphère professionnelle est donc bien de 48% (60% × 80%).</w:t>
      </w:r>
    </w:p>
    <w:p>
      <w:r>
        <w:rPr>
          <w:b/>
        </w:rPr>
        <w:t>E. 12.2</w:t>
      </w:r>
    </w:p>
    <w:p>
      <w:r>
        <w:t>En revanche, la recourante critique la valeur probante du rapport d'enquête économique sur le ménage, en particulier la pondération des champs d'activités et l'évaluation des empêchements rencontrés dans la tenue de son ménage.</w:t>
      </w:r>
    </w:p>
    <w:p>
      <w:r>
        <w:rPr>
          <w:b/>
        </w:rPr>
        <w:t>E. 12.2.1</w:t>
      </w:r>
    </w:p>
    <w:p>
      <w:r>
        <w:t>Or, cette enquête a été effectuée le 23 septembre 2021 par une personne qualifiée au domicile de la recourante, en présence de cette dernière. L'enquêtrice a rappelé l'atteinte à la santé dont celle-ci souffre et a pris en compte ses limitations fonctionnelles (dossier intimé p. 191). Elle a également relaté les indications de la recourante concernant les tâches qu'elle accomplissait avant son atteinte à la santé, celles qu'elle continue à effectuer depuis lors, seule ou avec l'aide de son fils (p. 194-196). Les conclusions du rapport d'enquête économique reposent donc sur un examen concret des circonstances du cas d'espèce. L'enquêtrice a retenu les empêchements suivants dans les différents champs d'activités : 0% pour l'alimentation (pondération 33%), 15% pour l'entretien du logement ou de la maison (pondération 44%, exigibilité du fils de 15%), 30% pour les achats (pondération 10%, exigibilité de 30%), 15% pour la lessive et</w:t>
      </w:r>
    </w:p>
    <w:p>
      <w:r>
        <w:t>A/779/2022 - 15/19 - l'entretien des vêtements (pondération 13%, exigibilité de 15%), et 0% pour les soins et l'assistance aux enfants et aux proches (pondération 0%).</w:t>
      </w:r>
    </w:p>
    <w:p>
      <w:r>
        <w:rPr>
          <w:b/>
        </w:rPr>
        <w:t>E. 12.2.2</w:t>
      </w:r>
    </w:p>
    <w:p>
      <w:r>
        <w:t>La recourante estime que le champ d'activité « alimentation » doit être pondéré à 35%, au motif qu'elle mange très rarement à l'extérieur et qu'elle prépare également à manger pour son fils, et l'empêchement porté à 20%, car elle doit prendre beaucoup de temps sur son temps libre pour préparer à l'avance des repas afin de pouvoir assumer cette tâche durant la semaine de travail. Selon elle, le champ d'activité « entretien du logement ou de la maison » ne peut pas excéder 40% conformément aux directives idoines en la matière, et elle évalue son empêchement à 50%, car elle n'arrive pas à effectuer ces tâches de manière aussi assidue qu'avant l'atteinte à la santé et elle doit fragmenter son travail. Elle considère que son empêchement pour le champ d'activité « achats » est de 80%, dans la mesure où elle a radicalement changé son organisation de la semaine, ne pouvant plus effectuer ses courses hebdomadaires comme auparavant et ayant dû cesser de faire des achats quotidiens, cette manière de procéder s'étant avérée plus onéreuse et très fatigante. Enfin, le champ d'activité « lessive et entretien des vêtements » doit être pondéré à 15% et l'empêchement à 50%, car elle s'en occupe seule, prend beaucoup plus de temps qu'avant pour faire la lessive et elle ne repasse plus.</w:t>
      </w:r>
    </w:p>
    <w:p>
      <w:r>
        <w:rPr>
          <w:b/>
        </w:rPr>
        <w:t>E. 12.2.3</w:t>
      </w:r>
    </w:p>
    <w:p>
      <w:r>
        <w:t>On ne saurait suivre la recourante. Elle se contente de livrer sa propre appréciation quant à la pondération et aux empêchements qui lui paraissent justifiés dans les divers champs d’activités, sans démontrer que le contenu du rapport d'enquête ne serait pas plausible, ni motivé ou ne correspondrait pas aux indications relevées sur place.</w:t>
      </w:r>
    </w:p>
    <w:p>
      <w:r>
        <w:rPr>
          <w:b/>
        </w:rPr>
        <w:t>E. 12.2.3.1</w:t>
      </w:r>
    </w:p>
    <w:p>
      <w:r>
        <w:t>En particulier, le rapport du Dr B______ du 7 février 2021 dans lequel ce médecin mentionne que la recourante affirmait être épuisée après son travail et avoir de la peine à effectuer les tâches domestiques et se reposer une à deux heures après le travail pour retrouver de l'énergie (dossier intimé p. 118) n'est d'aucun secours à la recourante. D'une part, dans un rapport postérieur du</w:t>
      </w:r>
    </w:p>
    <w:p>
      <w:r>
        <w:rPr>
          <w:b/>
        </w:rPr>
        <w:t>E. 12.2.3.2</w:t>
      </w:r>
    </w:p>
    <w:p>
      <w:r>
        <w:t>En ce qui concerne le champ d'activité « alimentation », l'enquêtrice a indiqué qu'avant l'atteinte à la santé, la recourante cuisinait pour elle et son fils jeune adulte, faisait la vaisselle et s'occupait de l'entretien courant de la cuisine. Après l'atteinte, elle cuisine les jours de congé et en avance, de telle sorte que les jours de travail, les repas sont vite prêts. La recourante a déclaré qu'en fractionnant le travail, elle n'a pas d'empêchement dans ce champ d'activité (dossier intimé p. 194). On peut raisonnablement attendre de la part de la recourante, au regard de son obligation de réduire le dommage, qu'elle effectue ses tâches moyennant une adaptation de ses méthodes de travail et une planification différente. Par conséquent, il ne se justifie pas de porter l'empêchement à 20%, comme elle le voudrait, au seul motif qu'elle cuisine les jours de congé et en avance.</w:t>
      </w:r>
    </w:p>
    <w:p>
      <w:r>
        <w:rPr>
          <w:b/>
        </w:rPr>
        <w:t>E. 12.2.3.3</w:t>
      </w:r>
    </w:p>
    <w:p>
      <w:r>
        <w:t>S'agissant du poste « entretien du logement ou de la maison », l'enquêtrice a relevé qu'avant l'atteinte à la santé, la recourante, maniaque, s'occupait de tout l'entretien du logement et nettoyait plusieurs fois dans la semaine. Après l'atteinte, elle nettoie moins souvent, mais au moins une fois par semaine. Elle parvient à entretenir son logement, hormis les gros travaux d'entretien (grand nettoyage, nettoyage des vitres), délégués à son fils (p. 195). Le fait allégué que la recourante n'entretient plus son logement constamment comme auparavant ne saurait entraîner un empêchement de 50%, dès lors qu'elle remplit ses tâches, excepté les gros travaux d'entretien qui ne sont pas nécessaires chaque semaine.</w:t>
      </w:r>
    </w:p>
    <w:p>
      <w:r>
        <w:rPr>
          <w:b/>
        </w:rPr>
        <w:t>E. 12.2.3.4</w:t>
      </w:r>
    </w:p>
    <w:p>
      <w:r>
        <w:t>Au sujet du poste « achats », l'enquêtrice a mentionné qu'avant l'atteinte à la santé, la recourante faisait une fois par semaine les grosses courses avec son fils, allait de temps en temps compléter ses achats entre deux et s'occupait de ses affaires administratives. Après l'atteinte, elle répartit mieux ses courses et va plus souvent, elle a de la peine pour les achats lourds et son fils l'aide pour cela. Elle n'est pas empêchée pour les tâches administratives (p. 195). Dans la mesure où, aux dires de la recourante le jour de l'entretien, elle pouvait, moyennant une certaine organisation, effectuer l'essentiel des achats légers quotidiens, un empêchement de 80%, comme elle le souhaiterait, n'est guère justifié. Dans son complément de recours, elle allègue avoir cessé de faire des achats quotidiens (p. 7). On ne saurait toutefois tenir compte de cette circonstance, qui est postérieure à la décision litigieuse (ATF 121 V 366 consid. 1b).</w:t>
      </w:r>
    </w:p>
    <w:p>
      <w:r>
        <w:rPr>
          <w:b/>
        </w:rPr>
        <w:t>E. 12.2.3.5</w:t>
      </w:r>
    </w:p>
    <w:p>
      <w:r>
        <w:t>Quant au champ d'activité « lessive et entretien des vêtements », l'enquêtrice a indiqué qu'avant l'atteinte à la santé, la recourante s'occupait de l'entretien du linge pour elle et son fils, suspendait le linge sur un petit étendage dans l'appartement, et repassait environ une heure par semaine. Après l'atteinte,</w:t>
      </w:r>
    </w:p>
    <w:p>
      <w:r>
        <w:t>A/779/2022 - 17/19 - elle avait déclaré ne pas avoir d'empêchement, mis à part qu'elle ne repassait plus que le strict minimum (p. 196). Il est exigible de la recourante qu'elle planifie de la meilleure façon possible la lessive (en ne faisant par exemple que de petites quantités à la fois). Aussi ne peut-on pas augmenter le taux de l'empêchement de 15% à 50%. Si, comme l'allègue la recourante dans son complément de recours, elle ne repasse plus du tout (p. 7), il s'agit, à nouveau, d'une circonstance postérieure à la décision querellée, de sorte que la chambre de céans ne peut pas en tenir compte.</w:t>
      </w:r>
    </w:p>
    <w:p>
      <w:r>
        <w:rPr>
          <w:b/>
        </w:rPr>
        <w:t>E. 12.2.4</w:t>
      </w:r>
    </w:p>
    <w:p>
      <w:r>
        <w:t>Concernant le taux d'exigibilité globale arrêté pour l'aide apportée par le fils (11.55%), la recourante ne le conteste pas dans un premier temps (complément de recours p. 6-8), avant de considérer qu'il est excessif eu égard au fait que son fils, en plus de ses études universitaires (géosciences et environnement), travaille à raison de huit heures trente par semaine (réplique p. 2). L'enquêtrice a tenu compte du fait que le fils est étudiant (dossier intimé p. 193, 197). Le rapport d'enquête n'indique cependant pas que celui-ci travaille. Ceci dit, en partant du principe que l'activité de la recourante dans le ménage représente huit heures par semaine (soit [20% × 40 heures/ 100%] = huit heures = 480 minutes), un total de 55.44 minutes hebdomadaires (11.55% de 480 minutes) ou huit minutes environ au quotidien (55.44 / sept jours = 7.92 minutes) à charge du fils (onze minutes par jour lorsqu'il est absent les week-ends [55.44 / cinq jours = 11.08 minutes]), bien qu'il étudie à l'Université et travaille en parallèle à raison de 73 minutes par jour (huit heures trente par semaine = 510 minutes / sept jours = 72.85 minutes), ne représente pas une charge excessive (cf. arrêt du Tribunal fédéral 9C_784/2013 du 5 mars 2014 consid. 4 et 6). Ainsi, la prise en compte d'une aide de l'entourage de l'ordre de 11.55% n'apparaît pas excéder ce qui peut être raisonnablement exigé des membres de la famille dans le cadre de l'obligation de diminuer le dommage.</w:t>
      </w:r>
    </w:p>
    <w:p>
      <w:r>
        <w:rPr>
          <w:b/>
        </w:rPr>
        <w:t>E. 12.2.5</w:t>
      </w:r>
    </w:p>
    <w:p>
      <w:r>
        <w:t>Certes, au regard des pourcentages appliqués par l'assurance-invalidité pour chacune des activités liées à la tenue du ménage (Circulaire sur l'invalidité et l'impotence dans l'assurance-invalidité [CIIAI] dans son état au 1er janvier 2021, ch. 3087), une pondération maximale de 40% pour l'entretien du logement pourrait être fixée. L'intimé explique avoir pondéré ce poste à 44% compte tenu du fait que la recourante a déclaré être, avant l'atteinte à la santé, « maniaque » dans le nettoyage, y porter une attention toute particulière, en procédant à l'entretien du logement plusieurs fois par semaine (réponse p. 3-4). La critique de la recourante à ce propos peut demeurer sans réponse. En effet, même en baissant ce taux à 40%, et en augmentant celui de l'alimentation à 35% (au lieu de 33%), et celui de la lessive à 15% (au lieu de 13%), comme le</w:t>
      </w:r>
    </w:p>
    <w:p>
      <w:r>
        <w:t>A/779/2022 - 18/19 - demande la recourante, l'empêchement pondéré avec exigibilité en résultant s'élèverait toujours à 0%, ainsi que l'illustre le tableau ci-dessous: Champs d'activités Exigibilité Pondération champ d'activité en % Empêchements en % Empêchement pondéré</w:t>
      </w:r>
    </w:p>
    <w:p>
      <w:r>
        <w:t>Sans exigibilité Avec exigibilité Alimentation 0% 35% 0% 0% 0% Entretien du logement/maison 15% 40% 15% 6% 0% Achats et courses diverses 30% 10% 30% 3% 0% Lessive et entretien des vêtements 15% 15% 15% 2.25% 0% Soins et assistance aux enfants et aux proches 0% 0% 0% 0% 0% Total - empêchement pondéré avec exigibilité</w:t>
      </w:r>
    </w:p>
    <w:p>
      <w:r>
        <w:t>0% Total - empêchement pondéré sans exigibilité</w:t>
      </w:r>
    </w:p>
    <w:p>
      <w:r>
        <w:t>11.25%</w:t>
      </w:r>
    </w:p>
    <w:p>
      <w:r>
        <w:t>Ainsi, l'issue du litige n'en serait pas modifiée. 13. En conséquence, au vu du dossier contenant les éléments nécessaires pour trancher le litige, par appréciation anticipée des preuves (ATF 122 II 464 consid. 4a), il n'est pas nécessaire d'entendre la recourante oralement. 14. Au vu de ce qui précède, le recours, mal fondé, sera rejeté. La recourante, qui succombe, n'a pas droit à des dépens (art. 61 let. g LPGA a contrario).</w:t>
      </w:r>
    </w:p>
    <w:p>
      <w:r>
        <w:rPr>
          <w:b/>
        </w:rPr>
        <w:t>E. 15</w:t>
      </w:r>
    </w:p>
    <w:p>
      <w:r>
        <w:t>Au vu du sort du recours, il y a lieu de condamner la recourante au paiement d'un émolument, arrêté en l'espèce à CHF 200.- (art. 69 al.1bis LAI).</w:t>
      </w:r>
    </w:p>
    <w:p>
      <w:r>
        <w:t>A/779/2022 - 19/19 -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