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ATAS/332/2019 vom 15. April 2019</w:t>
      </w:r>
    </w:p>
    <w:p>
      <w:r>
        <w:t>GE Cour de justice, 2019-04-15, FR</w:t>
      </w:r>
    </w:p>
    <w:p>
      <w:r>
        <w:rPr>
          <w:b/>
        </w:rPr>
        <w:t xml:space="preserve">Quelle: </w:t>
      </w:r>
      <w:r>
        <w:t>https://mcp.opencaselaw.ch/entscheid/ge_gerichte_ATAS_332_2019</w:t>
      </w:r>
    </w:p>
    <w:p>
      <w:r>
        <w:t>FR: GE_GERICHTE ATAS/332/2019 du 15 avril 2019</w:t>
      </w:r>
    </w:p>
    <w:p>
      <w:r>
        <w:t>IT: GE_GERICHTE ATAS/332/2019 del 15 aprile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A/2655/2018 - 13/29 -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5</w:t>
      </w:r>
    </w:p>
    <w:p>
      <w:r>
        <w:t>a.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b. Le recourant ne remet pas en cause le fait que l’entorse au poignet droit consécutive à l’accident du 5 juin 2012, dont l’évolution était bonne au jour de l’examen effectué par le médecin d’arrondissement le 22 février 2017, n’entraîne pas de répercussions sur sa capacité de gain. Il ne conteste pas non plus le fait que ses troubles psychiques, réactionnels à une mauvaise évolution sur le plan orthopédique, ne sont pas en relation de causalité adéquate avec la chute dont il a été victime, qui doit être qualifiée de peu de gravité (cf. ATF 115 V 403 consid. 5a)  le recourant étant tombé sur le béton alors qu’il poussait un échafaudage, il n’a pas fait une chute d’une certaine hauteur  (cf. ATAS/343/2017 du 2 mai 2017 consid. 14 b/bb. s’agissant de la casuistique relative à des chutes d'une certaine hauteur ayant été considérées comme des accidents de gravité moyenne). En conséquence, le litige porte uniquement sur le degré d’invalidité du recourant résultant des troubles de la cheville droite depuis le 1er juillet 2017, ainsi que sur le gain assuré déterminant servant au calcul de la rente d’invalidité.</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w:t>
      </w:r>
    </w:p>
    <w:p>
      <w:r>
        <w:t>A/2655/2018 - 14/29 -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A/2655/2018 - 15/29 -</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w:t>
      </w:r>
    </w:p>
    <w:p>
      <w:r>
        <w:t>A/2655/2018 - 16/29 -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t>A/2655/2018 - 17/29 -</w:t>
      </w:r>
    </w:p>
    <w:p>
      <w:r>
        <w:rPr>
          <w:b/>
        </w:rPr>
        <w:t>E. 10</w:t>
      </w:r>
    </w:p>
    <w:p>
      <w:r>
        <w:t>a. En l’espèce, l’intimée, se référant à l’examen final du 22 février 2017, effectué par le Dr G______, médecin d’arrondissement, retient que le recourant est apte à exercer une activité adaptée, essentiellement sédentaire avec déplacements réguliers sur de courtes distances, à plein temps, sans baisse de rendement, respectant les limitations fonctionnelles suivantes : éviter la marche en terrains irréguliers, la montée et la descente régulières d’échelles, d’escaliers, le travail sur échafaudage ainsi que le port de charges lourdes. Le recourant, de son côté, s’appuyant sur l’avis de ses médecins traitants, conteste la valeur probante du rapport du Dr G______. b. Dans son rapport du 18 octobre 2017, le Dr E______, médecin traitant, indique que la scintigraphie osseuse du 23 avril 2014 révélait une hypercaptation talo- calcanéenne en phase précoce, éventuellement un SDRC, en d’autres termes, une algodystrophie. Cette imagerie médicale avait été réalisée par la CRR qui n’avait alors pas retenu le diagnostic d’algodystrophie en l’absence de signes cliniques suffisants. Quoi qu’il en soit, il n’est pas contesté ni contestable que le recourant souffre encore de douleurs chroniques à la cheville droite (cf. rapports de la Dresse F______ des 23 janvier 2017 et 28 septembre 2017, et du Dr E______ du 18 octobre 2017) consécutives à l’accident du 5 juin 2012 en dépit des traitements thérapeutiques instaurés. Selon le Dr E______, les travaux qui peuvent encore être exigés du recourant consistent en des activités uniquement en position assise. Cette appréciation rejoint celle du Dr G______ qui retient que l’activité adaptée doit être essentiellement sédentaire. Dans la mesure où ce médecin a expressément relevé que, depuis sept mois, le recourant marchait sans canne pour les très petites distances, qu’il ne pouvait pas rester longtemps assis sans devoir bouger la cheville et que l’activité adaptée doit être « essentiellement » sédentaire, les déplacements « réguliers » sur de courtes distances ne doivent pas être compris dans le sens de « fréquents » comme semble l’alléguer le recourant, mais plutôt dans le sens de « permis », « autorisés », « à intervalles de temps identiques » pour justement lui permettre de bouger sa cheville. En l’absence d’éléments objectivement vérifiables, de nature clinique ou diagnostique, qui auraient été ignorés par le Dr G______, les conclusions de ce dernier, prises à l’issue d’un examen complet du recourant, sur la base du dossier, y compris les radiographies, et donc en connaissance de ses limitations, emportent la conviction de la chambre de céans. Les avis des médecins traitants ne sauraient remettre en cause le rapport du médecin d’arrondissement. Certes, la Dresse F______ évalue la capacité de travail résiduelle du recourant à 0 %. Toutefois, si le 1er septembre 2017, cette spécialiste avait observé une tuméfaction chaude de la cheville droite avec douleurs sous-malléolaires bilatérales, lors de son examen final, le Dr G______ n’avait pas constaté d’œdème. À cette occasion, le recourant avait déclaré qu’en cas de sollicitations mécaniques trop intenses, l’arrière-pied se gonflait. Depuis le début de l’été 2016, il marchait avec une canne à gauche. S’il marchait sans canne pendant trente minutes, des douleurs extrêmes apparaissaient. C’est dire que l’état du pied droit peut varier d’un jour à l’autre</w:t>
      </w:r>
    </w:p>
    <w:p>
      <w:r>
        <w:t>A/2655/2018 - 18/29 - selon que le recourant utilise ou non sa canne. En outre, les limitations fonctionnelles décrites par la Dresse F______ (marche limitée, douleurs, marche impossible en terrains irréguliers) sont globalement les mêmes que celles exposées par le médecin d’arrondissement. Le Dr G______ a en particulier tenu compte du fait que le recourant marchait avec une canne à gauche, dont il ne pouvait pas se sevrer sans douleurs importantes immédiatement après, qu’il ressentait des douleurs lors des changements de temps et que la marche s’effectuait avec une discrète boiterie à droite. La Dresse F______ ne met donc pas en évidence de manière circonstanciée un élément permettant de reconnaître une capacité de travail nulle dans une activité adaptée (essentiellement en position assise) tenant compte des limitations fonctionnelles du recourant. Quant au Dr E______, il ne spécifie nullement le taux d’activité exigible dans une activité adaptée. En définitive, la chambre de céans retient que la capacité de travail du recourant, nulle dans son activité habituelle d’aide-coffreur  ce qui n’est pas contesté par l’intimée , est entière dans une activité adaptée (essentiellement sédentaire) à ses limitations fonctionnelles (éviter la marche en terrains irréguliers, la montée et la descente régulières d’échelles, d’escaliers, le travail sur échafaudage ainsi que le port de charges lourdes), sans baisse de rendement.</w:t>
      </w:r>
    </w:p>
    <w:p>
      <w:r>
        <w:rPr>
          <w:b/>
        </w:rPr>
        <w:t>E. 11</w:t>
      </w:r>
    </w:p>
    <w:p>
      <w:r>
        <w:t>Il convient à présent d’examiner le degré d’invalidité du recourant. a. Si l’assuré est invalide (art. 8 LGPA)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Une atteinte à la santé seule ne suffit pas, quelle que soit sa gravité, à constituer une invalidité; elle doit avoir pour conséquence une incapacité de gain. L’incapacité de gain ne se réfère pas à la profession exercée par l’assuré avant l’atteinte à la santé; si l’assuré est devenu incapable d’exercer sa profession mais peut prendre une autre activité raisonnablement exigible, après le traitement et la réadaptation, l’évaluation de l’incapacité de travail est faite d’après cette activité exigible. Si la perte de gain est due à un manque de places de travail, et non à l’atteinte à la santé, il n’y a pas d’invalidité, dans la définition de laquelle d’autres facteurs extérieurs sont aussi écartés, comme l’âge, le manque de formation, les différences socioculturelles (Pierre-Yves GREBER, L’assurance-vieillesse, survivants et invalidité, in Droit suisse de la sécurité sociale, vol. I, éd. par Pierre-Yves GREBER / Bettina KAHIL- WOLFF / Ghislaine FRÉSARD-FELLAY / Romolo MOLO, 2010, p. 137 ss, n. 166). La notion d'invalidité définie à l'art. 8 LPGA est en principe identique en matière d'assurance-accidents, d'assurance militaire et d'assurance-invalidité</w:t>
      </w:r>
    </w:p>
    <w:p>
      <w:r>
        <w:t>A/2655/2018 - 19/29 - (ATF 126 V 288 consid. 2d; arrêt du Tribunal fédéral des assurances I 853/05 du 28 décembre 2006 consid. 4.1.1).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de la différence entre le revenu dit d’invalide (ou avec invalidité) et le revenu sans invalidité, et ce au moment de l’ouverture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la comparaison des revenus, est réputé revenu au sens de l'art. 16 LPGA le revenu annuel présumable sur lequel les cotisations seraient perçues en vertu de la LAVS (art. 25 al. 1 du règlement sur l'assurance-invalidité du 17 janvier 1961 [RAI – RS 831.201]). b. Pour procéder à la comparaison des revenus, il convient de se placer au moment de la naissance du droit à la rente (arrêt du Tribunal fédéral U 311/02 du 4 février 2003 consid. 4.1). En vertu de l'art. 19 al. 1 LAA, le droit à la rente prend naissance lorsqu'il n'y a plus lieu d'attendre de la continuation du traitement médical une sensible amélioration de l'état de l'assuré, le moment déterminant étant celui auquel l'état de santé peut être considéré comme relativement stabilisé.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 244/04 du 20 mai 2005 consid. 3.1). En l’espèce, le recourant, dont le traitement actuel consiste en la prise de comprimés antidouleur (Dafalgan, Tramal), ne conteste pas que son état de santé était stabilisé au 30 juin 2017, ouvrant ainsi dès le 1er juillet 2017 le droit à une éventuelle rente. Partant, la comparaison des revenus doit être effectuée en prenant pour référence l'année 2017. c.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8C_708/2007 du 21 août 2008 consid. 5.5 et les références).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w:t>
      </w:r>
    </w:p>
    <w:p>
      <w:r>
        <w:t>A/2655/2018 - 20/29 -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(ESS),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En l’absence de DPT recueillies conformément aux exigences jurisprudentielles, il convient pour déterminer le revenu d'invalide de se fonder sur les salaires qui ressortent des ESS (ATF 126 V 76 consid. 3b/aa et bb). Dans ce cas, il convient de se baser,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w:t>
      </w:r>
    </w:p>
    <w:p>
      <w:r>
        <w:rPr>
          <w:b/>
        </w:rPr>
        <w:t>E. 13</w:t>
      </w:r>
    </w:p>
    <w:p>
      <w:r>
        <w:t>août 2012 consid. 3).</w:t>
      </w:r>
    </w:p>
    <w:p>
      <w:r>
        <w:t>A/2655/2018 - 21/29 - 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e/aa. En l’occurrence, il n'est pas contesté que le recourant, s’il n’avait pas eu son accident, continuerait à travailler au service de B______ Sàrl en tant qu’aide- coffreur. Par conséquent, il y a lieu de prendre en considération le revenu qu’il recevrait dans cette activité en 2017. Selon les données communiquées par l’ancien employeur, le recourant obtiendrait un salaire horaire de CHF 27.- pour une durée de travail hebdomadaire de 42 heures, ainsi qu’un supplément de 8,33 % à titre de 13ème salaire. Il convient également de prendre en considération l’indemnité de vacances (10,6 %), ce que l’intimée a omis de faire, dès lors que le recourant, avant son accident, bénéficiait de cette indemnité pour laquelle il s’était acquitté de cotisations à l’AVS et qu’on peut raisonnablement admettre qu’il continuerait à la percevoir. Dans la mesure où une indemnité de vacances de 10,64% correspond à un droit aux vacances de 5 semaines, il y a lieu de multiplier le salaire horaire par 47 (52 semaines moins 5 semaines de vacances) afin d’éviter une double indemnisation (cf. arrêt du Tribunal fédéral 8C_708/2007 du 21 août 2008 consid. 5.5 et la référence). Ainsi, le revenu sans invalidité s’élève à CHF 63'839.95 selon le calcul suivant : CHF 32.34 (CHF 27.- + 8,33 % + 10,6 %) x 42 heures x 47 = CHF 63'839.95. e/bb. Quant au revenu avec invalidité, le recourant, incapable d’exercer son activité habituelle, n’a pas repris d’activité professionnelle. En l'absence d'un revenu effectivement réalisé, la jurisprudence considère que le revenu d'invalide peut être évalué sur la base de statistiques salariales ressortant de l’ESS ou de données salariales résultant des DPT. L’intimée s’est fondée sur les DPT. Elle a retenu cinq</w:t>
      </w:r>
    </w:p>
    <w:p>
      <w:r>
        <w:t>A/2655/2018 - 22/29 - postes de travail en Suisse romande, soit ceux de collaborateur de production (monteuse en appareil) (sic), d’assistant-opérateur (opérateur sur machine), de collaborateur de production (bracelets), d’employé d’atelier emballage et de collaborateur de production (montage, câblage). Le poste d’assistant-opérateur, en tant qu’il implique une position de longue durée debout : très souvent, et des déplacements (marche) jusqu’à 50 m : parfois, et celui d’atelier emballage, en tant qu’il requiert que le recourant cherche les produits dans des locaux annexes, pousse le chariot, porte des charges entre 5 à 10 kg : parfois, alors que celui-ci se déplace avec une canne à gauche, pourraient être incompatibles avec les limitations fonctionnelles retenues (activité essentiellement sédentaire, marche sur de courtes distances et pas de port de charges lourdes). La question de savoir si ces DPT sont adaptées aux limitations du recourant peut en l’état demeurer ouverte, car si l’on s’écarte des DPT pour recourir aux ESS, le degré d’invalidité n’est de toute manière pas supérieur à 12 %, comme il sera démontré ci-après. e/cc. En ce qui concerne l’année de référence des tableaux statistiques à appliquer, l’ESS 2016 n’était pas encore publiée (elle l’a été le 26 octobre 2018) au moment déterminant de la décision sur opposition du 18 juin 2018. Aussi convient-il de se référer à la version 2014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w:t>
      </w:r>
    </w:p>
    <w:p>
      <w:r>
        <w:rPr>
          <w:b/>
        </w:rPr>
        <w:t>E. 15</w:t>
      </w:r>
    </w:p>
    <w:p>
      <w:r>
        <w:t>Quand bien même l’intimée obtient gain de cause, elle conclut à tort à l’octroi de dépens, dès lors qu’elle n’est pas représentée par un avocat indépendant.</w:t>
      </w:r>
    </w:p>
    <w:p>
      <w:r>
        <w:rPr>
          <w:b/>
        </w:rPr>
        <w:t>E. 16</w:t>
      </w:r>
    </w:p>
    <w:p>
      <w:r>
        <w:t>Pour le surplus, la procédure est gratuite (art. 61 let. a LPGA).</w:t>
      </w:r>
    </w:p>
    <w:p>
      <w:r>
        <w:t>A/2655/2018 - 29/29 -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