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ATAS/332/2018 vom 18. April 2018</w:t>
      </w:r>
    </w:p>
    <w:p>
      <w:r>
        <w:t>GE Cour de justice, 2018-04-18, FR</w:t>
      </w:r>
    </w:p>
    <w:p>
      <w:r>
        <w:rPr>
          <w:b/>
        </w:rPr>
        <w:t xml:space="preserve">Quelle: </w:t>
      </w:r>
      <w:r>
        <w:t>https://mcp.opencaselaw.ch/entscheid/ge_gerichte_ATAS_332_2018</w:t>
      </w:r>
    </w:p>
    <w:p>
      <w:r>
        <w:t>FR: GE_GERICHTE ATAS/332/2018 du 18 avril 2018</w:t>
      </w:r>
    </w:p>
    <w:p>
      <w:r>
        <w:t>IT: GE_GERICHTE ATAS/332/2018 del 18 aprile 2018</w:t>
      </w:r>
    </w:p>
    <w:p>
      <w:pPr>
        <w:pStyle w:val="Heading2"/>
      </w:pPr>
      <w:r>
        <w:t>Erwägungen</w:t>
      </w:r>
    </w:p>
    <w:p>
      <w:r>
        <w:rPr>
          <w:b/>
        </w:rPr>
        <w:t>E. 17</w:t>
      </w:r>
    </w:p>
    <w:p>
      <w:r>
        <w:t>Le 15 janvier 2018, le Dr G______ a convoqué l’assuré à un premier rendez-vous au 5 février 2018 et un second au 26 février 2018.</w:t>
      </w:r>
    </w:p>
    <w:p>
      <w:r>
        <w:rPr>
          <w:b/>
        </w:rPr>
        <w:t>E. 18</w:t>
      </w:r>
    </w:p>
    <w:p>
      <w:r>
        <w:t>Par décision du 1er février 2018, l’OAI a informé l’assuré qu’il maintenait l’expertise auprès du Dr G______ au motif que le SMR estimait que le rapport d’expertise du 14 juin 2017 ne prenait pas position sur les répercussions de l’atteinte à la santé retenue sur la capacité de travail ou dans une autre activité professionnelle appropriée.</w:t>
      </w:r>
    </w:p>
    <w:p>
      <w:r>
        <w:rPr>
          <w:b/>
        </w:rPr>
        <w:t>E. 19</w:t>
      </w:r>
    </w:p>
    <w:p>
      <w:r>
        <w:t>Dans un rapport du 1er février 2018, le Dr D______ a indiqué que le Dr F______ ne se positionnait pas, dans son rapport du 14 juin 2017, sur la capacité de travail médico-théorique exigible et se contentait de noter qu’une capacité résiduelle existait probablement. De plus, il ne retenait aucune atteinte incapacitante. En effet, le trouble dépressif était qualifié de léger et la dépendance à l’alcool qualifiée de secondaire n’était pas en relation avec une atteinte psychique de degré suffisant. En outre, l’expert avait fait référence à des facteurs qui ne pouvaient pas être pris en compte, en particulier l’âge de l’assuré. À l’évidence, son rapport ne pouvait pas être qualifié de convaincant sur le plan médical. De même, devant les défauts structurels de l’évaluation, il n’était pas possible de demander à l’expert des précisions. En conséquence, une nouvelle expertise était bien indispensable pour évaluer de façon définitive la capacité de travail éventuelle de l’assuré.</w:t>
      </w:r>
    </w:p>
    <w:p>
      <w:r>
        <w:rPr>
          <w:b/>
        </w:rPr>
        <w:t>E. 20</w:t>
      </w:r>
    </w:p>
    <w:p>
      <w:r>
        <w:t>Le 6 février 2018, le Dr G______ a convoqué l’assuré le 26 février 2018, suite à sa non-présentation le 5 février 2018.</w:t>
      </w:r>
    </w:p>
    <w:p>
      <w:r>
        <w:rPr>
          <w:b/>
        </w:rPr>
        <w:t>E. 21</w:t>
      </w:r>
    </w:p>
    <w:p>
      <w:r>
        <w:t>Le 5 mars 2018, l’assuré a formé recours auprès de la chambre des assurances sociales de la Cour de justice contre la décision de l’OAI du 1er février 2018, faisant valoir que l’avis du Dr D______ du 27 octobre 2017 n’indiquait pas en quoi l’expertise du Dr F______ serait dénuée de valeur probante ni même quelles conditions jurisprudentielles feraient défaut à cette expertise. Partant, l’OAI ne pouvait, unilatéralement et sans même le consulter, écarter cette expertise médicale qu’il avait lui-même mise en œuvre pour le simple motif que celle-ci déplaisait au Dr D______ et mandater un autre expert. Il subissait un préjudice irréparable en raison de la décision de l’OAI. L’ensemble de ses médecins traitants aboutissaient au même constat que le Dr F______. Si l’OAI estimait que l’expertise méritait des clarifications, il lui appartenait de poser des questions complémentaires à l’expert, mais il ne pouvait pas changer d’expert sans même lui demander son avis. En</w:t>
      </w:r>
    </w:p>
    <w:p>
      <w:r>
        <w:t>A/761/2018 - 6/14 - conséquence, c’était sans droit et de manière abusive que l’OAI avait mis sur pied une nouvelle expertise psychiatrique en faisant fi des réquisits jurisprudentiels et en écartant l’expertise du Dr F______. Il concluait à la restitution de l’effet suspensif, à l’annulation de la décision rendue par l’OAI le 1er février 2018, avec suite de frais et dépens, à ce qu’il soit dit que celui-ci n’était pas fondé à désigner un nouvel expert en remplacement du Dr F______ et au retour du dossier à l’OAI pour suite de l’instruction dans le sens des considérants. Subsidiairement, il requérait que toute mesure probatoire utile soit ordonnée, en particulier l’audition du Dr F______.</w:t>
      </w:r>
    </w:p>
    <w:p>
      <w:r>
        <w:rPr>
          <w:b/>
        </w:rPr>
        <w:t>E. 22</w:t>
      </w:r>
    </w:p>
    <w:p>
      <w:r>
        <w:t>Par réponse du 20 mars 2018, l’OAI a conclu au rejet de la requête en restitution de l’effet suspensif. Une expertise avait été effectuée par le Dr F______, qui avait été considérée comme non probante par le SMR, le 27 octobre 2017. Il avait été retenu que l’expertise était à tel point émaillée d’incohérences et de lacunes qu’un complément d’expertise auprès de l’expert ne pouvait y remédier. Dès lors, l’OAI avait mandaté le Dr G______ pour effectuer une nouvelle expertise psychiatrique. La restitution de l’effet suspensif reviendrait à demander la suspension de la réalisation de l’expertise, ce qui relevait du droit de fond.</w:t>
      </w:r>
    </w:p>
    <w:p>
      <w:r>
        <w:rPr>
          <w:b/>
        </w:rPr>
        <w:t>E. 23</w:t>
      </w:r>
    </w:p>
    <w:p>
      <w:r>
        <w:t>Le 28 mars 2018, l’OAI a répondu, sur le fond, au recours en renvoyant à sa décision et en précisant que l’expertise effectuée par le Dr F______ le 14 juin 2017 ne pouvait se voir reconnaître pleine valeur probante. En effet, l’expert retenait comme diagnostic incapacitant une dépression récurrente, épisode actuel léger, une consommation régulière d’alcool et des troubles mentaux et du comportement liés à l’utilisation d’alcool, utilisation continue. Cette appréciation ne pouvait être suivie. En effet, le trouble dépressif était qualifié de léger et la dépendance à l’alcool qualifiée de secondaire n’était pas en relation avec une atteinte psychique de degré suffisant. S’agissant de la capacité de travail médico-théorique exigible, l’expert ne se prononçait pas et se contentait d’indiquer qu’il existait probablement une capacité résiduelle dans un environnement adapté et qu'il fallait prendre en considération qu’il s’agissait d’un assuré qui aurait 60 ans dans quelques jours. Il n’appartenait pas à l’expert de se déterminer sur des facteurs extra-médicaux. En l’occurrence, l’état de santé était insuffisamment instruit pour pouvoir se déterminer sur la capacité de travail médico-théorique du recourant. L’expertise du Dr F______ ne pouvait se voir reconnaître pleine valeur probante et devait être écartée. L’expertise était à tel point émaillée de lacunes et d’incohérences ainsi que de conclusions non motivées qu’un complément d’expertise auprès de l’expert ne serait suffisant pour y remédier. En conséquence, une nouvelle expertise psychiatrique s’avérait nécessaire. En effet, selon les éléments médicaux à disposition, les épisodes dépressifs dans le cadre du trouble dépressif récurrent étaient à chaque fois accompagnés par des consommations. Il était dès lors nécessaire de préciser si le recourant présentait une atteinte psychique invalidante évoluant de façon indépendante à la problématique addictive.</w:t>
      </w:r>
    </w:p>
    <w:p>
      <w:r>
        <w:rPr>
          <w:b/>
        </w:rPr>
        <w:t>E. 24</w:t>
      </w:r>
    </w:p>
    <w:p>
      <w:r>
        <w:t>Sur ce, la cause a été gardée à juger.</w:t>
      </w:r>
    </w:p>
    <w:p>
      <w:r>
        <w:t>A/761/2018 - 7/14 -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 2. À teneur de l'art. 1 al. 1 LAI, les dispositions de la LPGA s'appliquent à l'assurance- invalidité, à moins que la loi n'y déroge expressément. 3. Le délai de recours est de 30 jours (art. 60 al. 1 LPGA). Interjeté dans la forme et le délai prévus par la loi, le recours est recevable, en vertu des art. 56ss LPGA. 4. Le litige porte principalement sur le bien-fondé de la décision de l'intimé d'ordonner une seconde expertise du recourant. 5. Le recourant ayant conclu à la restitution de l’effet suspensif, il y a lieu d’examiner ce point en premier.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Quant à l'art. 61 LPGA, il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I 46/04 du 24 février 2004).</w:t>
      </w:r>
    </w:p>
    <w:p>
      <w:r>
        <w:t>A/761/2018 - 8/14 -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qu'en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qu'il faut cependant qu'elles ne fassent aucun doute. Par ailleurs, l'autorité ne saurait retirer l'effet suspensif au recours lorsqu'elle n'a pas de raisons convaincantes pour le faire (ATF 124 V 88 s. consid. 6a, 117 V 191 consid. 2b et les références). b. Les mesures provisionnelles, auxquelles l’effet suspensif est assimilé, ne sont ainsi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 6. En l'espèce, le recours est dirigé contre la décision d’ordonner une nouvelle expertise. Ainsi, la requête visant à la restitution de l'effet suspensif revient à demander la suspension de la réalisation de l'expertise en tant qu’elle n’est pas nécessaire. Or, cette question relève du droit de fond de la présente procédure, de sorte que la demande de restitution de l’effet suspensif devrait être rejetée. Cependant, dans la mesure où la chambre de céans statue ci-après sur le bien-fondé de la décision d'ordonner une deuxième expertise, la demande de restitution de l’effet suspensif devient en réalité sans objet. 7. Le recourant s’oppose à la réalisation d’une seconde expertise considérant, notamment, qu'il appartenait à l'intimé de poser des questions complémentaires à l’expert.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A/761/2018 - 9/14 -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10.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11.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w:t>
      </w:r>
    </w:p>
    <w:p>
      <w:r>
        <w:t>A/761/2018 - 10/14 -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w:t>
      </w:r>
    </w:p>
    <w:p>
      <w:r>
        <w:t>A/761/2018 - 11/14 -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En particulier, dans les cas où, selon la situation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13. Dans la conduite de la procédure, l'assureur dispose d'un large pouvoir d'appréciation en ce qui concerne la nécessité, l'étendue et l'adéquation de recueillir des données médicales (arrêt du Tribunal fédéral 9C_1012/2008 du 30 juin 2009 consid. 3.2.1). S'il estime que l'état de fait déterminant n'est pas suffisamment établi, ou qu'il existe des doutes sérieux quant à la valeur probante des éléments</w:t>
      </w:r>
    </w:p>
    <w:p>
      <w:r>
        <w:t>A/761/2018 - 12/14 - recueillis, l'administration doit mettre en œuvre les mesures nécessaires au complément d'instruction (arrêt du Tribunal fédéral I 906/05 consid. 6). Le devoir d'instruction de l'OAI s'étend jusqu'à ce que les faits nécessaires à l'examen des prétentions en cause soient suffisamment élucidés (arrêt du Tribunal fédéral 8C_364/2007 du 19 novembre 2007 consid. 3.2). Ainsi, l'OAI doit mettre en œuvre une expertise médicale lorsqu'il apparaît nécessaire de clarifier les aspects médicaux du cas (ATF 117 V 283 consid. 4a). Selon la jurisprudence (arrêt du Tribunal fédéral U 571/06 du 29 mai 2007 consid. 4.2, in RSAS 2008 p. 181), le devoir de prendre d'office les mesures d'instruction nécessaires à l'appréciation du cas ne comprend pas le droit de l'assureur de recueillir une « seconde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2ème édition 2009, art. 43 n° 12 et 17).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s'il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et compréhensibles (ATF 125 V 351 consid. 3a et les références; arrêt du Tribunal fédéral 9C_1012/2008 consid. 3.2.2). 14. En l'espèce, le rapport d'expertise du Dr F______ du 14 juin 2017 est constitué de douze pages et repose sur un entretien avec l'expertisé, un résumé de son histoire, ses plaintes actuelles et une anamnèse complète. L'expert a posé les diagnostics de dépression récurrente, épisode actuel léger, et de troubles mentaux et du comportement liés à l’utilisation d’alcool, utilisation continue, précisant que les symptômes liés à la dépression étaient compliqués par la consommation d’alcool, qui était secondaire, et que ces symptômes étaient à l’origine des limitations fonctionnelles invoquées par l’expertisé et observées lors de l’entretien. Il a précisé que selon le Dr B______, l’expertisé pourrait suivre une évaluation dans un environnement protégé à 50% et qu'il existait probablement une capacité résiduelle de travail dans un environnement adapté. Cette expertise remplit a priori les réquisits pour se voir reconnaître force probante. Il apparaît dès lors à tout le moins prématuré de faire procéder à une nouvelle expertise sans interpeller l'expert sur les critiques formulées par le SMR contre son</w:t>
      </w:r>
    </w:p>
    <w:p>
      <w:r>
        <w:t>A/761/2018 - 13/14 - rapport, ce d'autant plus que ces critiques reposent sur un avis peu motivé et peu convaincant. En effet, le Dr D______ a mentionné dans son avis, de façon contradictoire, en premier lieu, que l'expert retenait qu'une capacité résiduelle existait probablement, puis en second lieu, que l'expert retenait une incapacité totale de travail. Par ailleurs, le Dr D______ ne pouvait retenir qu'il n'y avait pas d'atteinte à la santé au sens de la LAI, sans plus de motivation et sans avoir demandé des explications complémentaires à ce sujet à l'expert, dès lors que ce dernier avait indiqué dans son rapport que l'assuré souffrait d'une dépression légère et que sa dépendance à l’alcool ainsi que ses antécédents psychiatriques compliquaient le pronostic. À teneur de la jurisprudence, il n'est en effet pas exclu qu'une dépression légère soit incapacitante. Contrairement à ce qu'a retenu le Dr D______, l'expert n'a pas conclu qu'il n'y avait pas d’exigibilité de traitement, mais il a relevé, au contraire, que les mesures thérapeutiques en cours étaient utiles. Il a seulement suggéré une modification du traitement psychotrope, en précisant qu'il estimait ne pas devoir l'exiger, car le traitement ne garantirait pas suffisamment l’évolution de la situation clinique et la capacité de travail. Enfin, le 1er février 2018, le Dr D______ a soutenu qu'il n’était pas possible de demander à l’expert des précisions en raison des défauts structurels de l’évaluation, sans plus de motivation. Il n'apparaît pourtant pas à sa lecture que le rapport souffrirait de tels défauts. L'on ne saurait non plus retenir qu'il est « émaillé de lacunes et d’incohérences » ainsi que de conclusions non motivées et qu’un complément d’expertise auprès de l’expert ne serait pas suffisant pour y remédier. Il ressort des considérations qui précèdent que l'OAI n'était pas fondé, en l'état de la procédure, à ordonner une nouvelle expertise, dès lors qu'il n'était pas démontré de façon suffisante que le rapport du Dr F______ était dénué de force probante. L'OAI aurait dû demander un complément d'expertise. Pour ce motif, la décision de l'OAI du 22 décembre 2017 doit être annulée et le dossier renvoyé à ce dernier pour qu'il saisisse l'expert de questions complémentaires, lesquelles devront également prendre en considération la nouvelle jurisprudence du Tribunal fédéral en matière de troubles psychiques. 15. Au vu de ce qui précède, il n'est pas nécessaire d'examiner le second grief du recourant qui reproche l'OAI d'avoir changé d’expert sans lui demander son avis. 16. Le recours sera en conséquence admis, la décision querellée annulée et il sera dit que l'intimé doit faire compléter le rapport d'expertise du 14 juin 2017 au sens des considérants. 17. La présente procédure portant sur un acte d’instruction, il n’y a pas lieu de prévoir un émolument (art. 69 al. 1bis LAI).</w:t>
      </w:r>
    </w:p>
    <w:p>
      <w:r>
        <w:t>A/761/2018 - 14/14 -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