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ATAS/332/2007 vom 27. März 2007</w:t>
      </w:r>
    </w:p>
    <w:p>
      <w:r>
        <w:t>GE Cour de justice, 2007-03-27, FR</w:t>
      </w:r>
    </w:p>
    <w:p>
      <w:r>
        <w:rPr>
          <w:b/>
        </w:rPr>
        <w:t xml:space="preserve">Quelle: </w:t>
      </w:r>
      <w:r>
        <w:t>https://mcp.opencaselaw.ch/entscheid/ge_gerichte_ATAS_332_2007</w:t>
      </w:r>
    </w:p>
    <w:p>
      <w:r>
        <w:t>FR: GE_GERICHTE ATAS/332/2007 du 27 mars 2007</w:t>
      </w:r>
    </w:p>
    <w:p>
      <w:r>
        <w:t>IT: GE_GERICHTE ATAS/332/2007 del 27 marzo 2007</w:t>
      </w:r>
    </w:p>
    <w:p>
      <w:pPr>
        <w:pStyle w:val="Heading2"/>
      </w:pPr>
      <w:r>
        <w:t>Regeste</w:t>
      </w:r>
    </w:p>
    <w:p>
      <w:r>
        <w:t>Résumé: Le fait de se redresser rapidement de la position accroupie à la position debout n'excède pas ce qu'on peut normalement qualifier d'habituel. Quoiqu'il en soit, même en admettant le facteur dommageable extérieur, l'exigence du caractère extraordinaire n'est pas remplie, car le fait de se baisser et de se relever est un mouvement de la vie courante qui ne constitue pas un risque de lésion accru. Partant, ce mouvement ne constitue pas un accident.</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A/208/2007 - 5/10 -</w:t>
      </w:r>
    </w:p>
    <w:p>
      <w:r>
        <w:rPr>
          <w:b/>
        </w:rPr>
        <w:t>E. 2</w:t>
      </w:r>
    </w:p>
    <w:p>
      <w:r>
        <w:t>Conformément à l'art. 56 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les faits étant postérieurs au 1er janvier 2003.</w:t>
      </w:r>
    </w:p>
    <w:p>
      <w:r>
        <w:rPr>
          <w:b/>
        </w:rPr>
        <w:t>E. 4</w:t>
      </w:r>
    </w:p>
    <w:p>
      <w:r>
        <w:t>Interjeté dans les forme et délai prévus par la loi, le recours est recevable (art. 106 LAA, en dérogation à l'art. 60 LPGA).</w:t>
      </w:r>
    </w:p>
    <w:p>
      <w:r>
        <w:rPr>
          <w:b/>
        </w:rPr>
        <w:t>E. 5</w:t>
      </w:r>
    </w:p>
    <w:p>
      <w:r>
        <w:t>Le litige porte sur la question de savoir si l'événement du 22 avril 2006 constitue un accident au sens de la loi ou une lésion assimilée.</w:t>
      </w:r>
    </w:p>
    <w:p>
      <w:r>
        <w:rPr>
          <w:b/>
        </w:rPr>
        <w:t>E. 6</w:t>
      </w:r>
    </w:p>
    <w:p>
      <w:r>
        <w:t>Selon l'art. 6 al. 1 LAA, les prestations d'assurance sont allouées en cas d'accident professionnel, d'accident non professionnel et de maladie professionnelle, à moins que la loi sur l'assurance-accidents n'en dispose autrement. Est réputé accident toute atteinte dommageable, soudaine et involontaire, portée au corps humain par une cause extérieure extraordinaire qui compromet la santé physique, mentale ou psychique ou qui entraîne la mort (art. 4 LPGA). La notion d'accident se compose ainsi de cinq éléments ou conditions, qui doivent être cumulativement réalisés. Il suffit que l'un d'entre eux fasse défaut pour que l'événement ne puisse pas être qualifié d'accident et que, cas échéant, l'atteinte dommageable doive alors être qualifiée de maladie (ATF 129 V 402, consid. 2.1; ATF 122 V 232, consid. 1).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autrement dit des incidents et des péripéties de la vie courante (ATF 129 V 404</w:t>
      </w:r>
    </w:p>
    <w:p>
      <w:r>
        <w:t>A/208/2007 - 6/10 - consid. 2.1, 122 V 233 consid. 1, 121 V 38 consid. 1a et les références). En outre, selon la jurisprudence, le critère du facteur extérieur extraordinaire peut résulter d'un mouvement non coordonné (ATF 130 V 118 consid. 2.1; ATAS/842/2006 du 27 septembre 2006).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Il n’y a pas d’accident lorsqu'un effort ne peut entraîner une lésion qu’en raison de facteurs préexistants, car c’est alors une cause interne qui agit, tandis que la cause extérieure – souvent anodine – ne fait que déclencher la manifestation du facteur pathologique (ATF 116 V 139 consid. 3b et les références).</w:t>
      </w:r>
    </w:p>
    <w:p>
      <w:r>
        <w:rPr>
          <w:b/>
        </w:rPr>
        <w:t>E. 7</w:t>
      </w:r>
    </w:p>
    <w:p>
      <w:r>
        <w:t>Par ailleurs, selon l'art. 6 al. 2 LAA, le Conseil fédéral peut inclure dans l'assurance des lésions corporelles qui sont semblables aux conséquences d'un accident. Aux termes de l'art. 9 al. 2 de l'ordonnance sur l'assurance-accidents du 20 décembre 1982 (OLAA), édicté par l'autorité exécutive en vertu de cette délégation de compétence, pour autant qu'elles ne soient pas manifestement imputables à une maladie ou à des phénomènes dégénératifs, les lésions corporelles suivantes, dont la liste est exhaustive (ATF 116 V 140, consid. 4a),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w:t>
      </w:r>
    </w:p>
    <w:p>
      <w:r>
        <w:t>A/208/2007 - 7/10 - g. Les lésions de ligaments; h. Les lésions du tympan.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(ATFA non publiés du 28 juin 2004, U 60/03 consid. 3.2 et du 6 août 2003, U 220/02 consid. 2.2 et les références).</w:t>
      </w:r>
    </w:p>
    <w:p>
      <w:r>
        <w:rPr>
          <w:b/>
        </w:rPr>
        <w:t>E. 8</w:t>
      </w:r>
    </w:p>
    <w:p>
      <w:r>
        <w:t>Par ailleurs,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125 V 351 ss consid. 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On rappellera que selon la jurisprudence, le juge peut accorder pleine valeur probante aux rapports et expertises établis par les médecins d'un assureur social aussi longtemps que ceux-ci aboutissent à des résultats convaincants, que leurs conclusions soient sérieusement motivées, que ces avis ne contiennent pas de contradictions et qu'aucun indice concret ne permet de mettre en cause leur bien- fondé. Le simple fait que le médecin consulté est lié à l'assureur par un rapport de</w:t>
      </w:r>
    </w:p>
    <w:p>
      <w:r>
        <w:t>A/208/2007 - 8/10 -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11 mai 2005, U.136/2004, consid. 4. 1).</w:t>
      </w:r>
    </w:p>
    <w:p>
      <w:r>
        <w:rPr>
          <w:b/>
        </w:rPr>
        <w:t>E. 9</w:t>
      </w:r>
    </w:p>
    <w:p>
      <w:r>
        <w:t>En l'espèce, le recourant a indiqué à la WINTERTHUR que le 22 avril 2006 après être resté baissé une dizaine de minutes et s'être relevé rapidement, une forte douleur au genou droit était apparue, ainsi qu'un doublement de volume de ce genou. Il s'est rendu le jour même à l'Hôpital de la Tour, où une ponction et un contrôle radiologique ont été effectué. Le Dr A__________ a posé comme diagnostic une calcification du ménisque externe, un important épanchement articulaire sous forme d'une opacité rétro-quadricipitale, une ostéophytose débutante au pôle supérieur de la rotule, ainsi qu'un interligne fémoro-tibial interne légèrement pincé. Selon les médecins de l'Hôpital de la Tour, l'événement du 22 avril 2006 ne doit pas être considéré comme un accident, mais comme une maladie, car il n'y a pas de notion de traumatisme. L'IRM effectuée par le Dr B__________ a révélé un épanchement intra-articulaire et un kyste poplité se trouvant dans la partie postéro-interne du genou, un status après méniscectomie interne sans nouvelle déchirure, un aspect kystique de la corne antérieure du ménisque externe traduisant une dégénérescence avec déchirure, une tendinopathie rotulienne avec bursite pré-rotulienne, un ostéophytose condylienne antéo-externe, un pincement du compartiment interne du genou, et une tuméfaction des compartiments intra- et externe du genou. Sur la facture de ce médecin, il est indiqué qu'il s'agit d'un accident. Quant au médecin traitant, il a diagnostiqué une entorse sévère au genou droit. Le Tribunal constate préalablement que les lésions que le recourant a subies lors de cet événement ne constituent pas des lésions corporelles assimilées à un accident au sens de l'art. 9 al. 2 OLAA. La seule lésion qui pouvait entrer en considération était une déchirure au ménisque (art. 9 al. 2 let. c OLAA), mais l'IRM n'a relevé qu'un status après méniscectomie interne sans aucune déchirure nouvelle du ménisque. Il reste à examiner si l'exigence du facteur extérieur est remplie, de même que son caractère extraordinaire. On rappellera que la jurisprudence développée jusqu'à ce jour par le Tribunal fédéral des assurances a admis qu'un redressement brusque du corps de la position accroupie peut être admis comme un facteur dommageable extérieur (cf. ATF 129 V 466, consid. 4.1; ATFA du 23 décembre 2003, U 180/03, consid. 4.3). Comme il</w:t>
      </w:r>
    </w:p>
    <w:p>
      <w:r>
        <w:t>A/208/2007 - 9/10 - a déjà été dit ci-dessus, le recourant s'est relevé rapidement, alors qu'il avait maintenu une position accroupie pendant une dizaine de minutes. On pourrait discuter sur le fait de savoir si le terme "rapidement" employé par le recourant doit être assimilé au terme "redressement brusque". Mais quoi qu'il en soit, même en admettant le facteur dommageable extérieur, l'exigence du caractère extraordinaire ne serait pas rempli. En effet, le fait de se baisser et de se relever est un mouvement de la vie courante, qui, en soi, ne constitue pas un risque de lésion accru. Le recourant lui-même indique s'être baissé et relevé à plusieurs reprises. On ne peut donc pas considéré qu'il y ait eu un effort extraordinaire pour un tel mouvement. Certes, maintenir une position accroupie pendant une dizaine de minutes n'est peut- être pas une activité de tous les jours, mais on ne peut pas admettre qu'elle excède ce qu'on peut normalement qualifier d'habituel. De plus, il ne s'agit pas d'un mouvement non coordonné (il s'est relevé d'une position accroupie). En outre, les médecins de l'Hôpital de la Tour, qui ont été les premiers à lui prodiguer des soins, n'ont pas retenu l'événement comme un accident, mais plutôt comme une maladie. Les rapports médicaux ont relevé un état dégénératif. Par conséquent, la condition du caractère extraordinaire n'étant pas remplie, l'événement du 22 avril 2006 ne peut pas être qualifié d'accident au sens de la loi. On relèvera que les rapports de l'Hôpital de la Tour et des médecins conseils de la WINTERTHUR sont convaincants.</w:t>
      </w:r>
    </w:p>
    <w:p>
      <w:r>
        <w:rPr>
          <w:b/>
        </w:rPr>
        <w:t>E. 10</w:t>
      </w:r>
    </w:p>
    <w:p>
      <w:r>
        <w:t>Au vu de ce qui précède, le recours, mal fondé, doit être rejeté. *****</w:t>
      </w:r>
    </w:p>
    <w:p>
      <w:r>
        <w:t>A/208/2007 - 10/10 -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