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ATAS/331/2023 vom 15. Mai 2023</w:t>
      </w:r>
    </w:p>
    <w:p>
      <w:r>
        <w:t>GE Cour de justice, 2023-05-15, FR</w:t>
      </w:r>
    </w:p>
    <w:p>
      <w:r>
        <w:rPr>
          <w:b/>
        </w:rPr>
        <w:t xml:space="preserve">Quelle: </w:t>
      </w:r>
      <w:r>
        <w:t>https://mcp.opencaselaw.ch/entscheid/ge_gerichte_ATAS_331_2023</w:t>
      </w:r>
    </w:p>
    <w:p>
      <w:r>
        <w:t>FR: GE_GERICHTE ATAS/331/2023 du 15 mai 2023</w:t>
      </w:r>
    </w:p>
    <w:p>
      <w:r>
        <w:t>IT: GE_GERICHTE ATAS/331/2023 del 15 maggio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rPr>
          <w:b/>
        </w:rPr>
        <w:t>E. 4</w:t>
      </w:r>
    </w:p>
    <w:p>
      <w:r>
        <w:t>L'art. 61 LPGA prévoit que la procédure devant la chambre des assurances sociales est réglée par le droit cantonal, sous réserve de ce que celui-ci respecte les exigences minimales requises par la LPGA.</w:t>
      </w:r>
    </w:p>
    <w:p>
      <w:r>
        <w:rPr>
          <w:b/>
        </w:rPr>
        <w:t>E. 5</w:t>
      </w:r>
    </w:p>
    <w:p>
      <w:r>
        <w:t>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w:t>
      </w:r>
    </w:p>
    <w:p>
      <w:r>
        <w:rPr>
          <w:b/>
        </w:rPr>
        <w:t>E. 6</w:t>
      </w:r>
    </w:p>
    <w:p>
      <w:r>
        <w:t>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w:t>
      </w:r>
    </w:p>
    <w:p>
      <w:r>
        <w:rPr>
          <w:b/>
        </w:rPr>
        <w:t>E. 7</w:t>
      </w:r>
    </w:p>
    <w:p>
      <w:r>
        <w:t>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rPr>
          <w:b/>
        </w:rPr>
        <w:t>E. 8</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t>- 4/6-</w:t>
      </w:r>
    </w:p>
    <w:p>
      <w:r>
        <w:t>A/264/2023</w:t>
      </w:r>
    </w:p>
    <w:p>
      <w:r>
        <w:rPr>
          <w:b/>
        </w:rPr>
        <w:t>E. 9</w:t>
      </w:r>
    </w:p>
    <w:p>
      <w:r>
        <w:t>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10</w:t>
      </w:r>
    </w:p>
    <w:p>
      <w:r>
        <w:t>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w:t>
      </w:r>
    </w:p>
    <w:p>
      <w:r>
        <w:rPr>
          <w:b/>
        </w:rPr>
        <w:t>E. 11</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le recourant a été empêché sans sa faute d’agir dans le délai fixé, ni son âge (62 ans), ni sa maîtrise limitée de la langue française ne pouvant être considérés comme des motifs valables de restitution.</w:t>
      </w:r>
    </w:p>
    <w:p>
      <w:r>
        <w:t>- 5/6-</w:t>
      </w:r>
    </w:p>
    <w:p>
      <w:r>
        <w:t>A/264/2023</w:t>
      </w:r>
    </w:p>
    <w:p>
      <w:r>
        <w:rPr>
          <w:b/>
        </w:rPr>
        <w:t>E. 12</w:t>
      </w:r>
    </w:p>
    <w:p>
      <w:r>
        <w:t>En l'absence de motif valable de restitution de délai, le recours doit être déclaré irrecevable pour cause de tardiveté.</w:t>
      </w:r>
    </w:p>
    <w:p>
      <w:r>
        <w:rPr>
          <w:b/>
        </w:rPr>
        <w:t>E. 13</w:t>
      </w:r>
    </w:p>
    <w:p>
      <w:r>
        <w:t>La procédure est gratuite.</w:t>
      </w:r>
    </w:p>
    <w:p>
      <w:r>
        <w:t>- 6/6-</w:t>
      </w:r>
    </w:p>
    <w:p>
      <w:r>
        <w:t>A/264/2023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