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ATAS/331/2017 vom 27. April 2017</w:t>
      </w:r>
    </w:p>
    <w:p>
      <w:r>
        <w:t>GE Cour de justice, 2017-04-27, FR</w:t>
      </w:r>
    </w:p>
    <w:p>
      <w:r>
        <w:rPr>
          <w:b/>
        </w:rPr>
        <w:t xml:space="preserve">Quelle: </w:t>
      </w:r>
      <w:r>
        <w:t>https://mcp.opencaselaw.ch/entscheid/ge_gerichte_ATAS_331_2017</w:t>
      </w:r>
    </w:p>
    <w:p>
      <w:r>
        <w:t>FR: GE_GERICHTE ATAS/331/2017 du 27 avril 2017</w:t>
      </w:r>
    </w:p>
    <w:p>
      <w:r>
        <w:t>IT: GE_GERICHTE ATAS/331/2017 del 27 aprile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t>A/3637/2015 - 10/16 -</w:t>
      </w:r>
    </w:p>
    <w:p>
      <w:r>
        <w:rPr>
          <w:b/>
        </w:rPr>
        <w:t>E. 2.1</w:t>
      </w:r>
    </w:p>
    <w:p>
      <w:r>
        <w:t>Anamnèse.</w:t>
      </w:r>
    </w:p>
    <w:p>
      <w:r>
        <w:rPr>
          <w:b/>
        </w:rPr>
        <w:t>E. 2.2</w:t>
      </w:r>
    </w:p>
    <w:p>
      <w:r>
        <w:t>Données subjectives de la personne.</w:t>
      </w:r>
    </w:p>
    <w:p>
      <w:r>
        <w:rPr>
          <w:b/>
        </w:rPr>
        <w:t>E. 2.3</w:t>
      </w:r>
    </w:p>
    <w:p>
      <w:r>
        <w:t>Constatations objectives.</w:t>
      </w:r>
    </w:p>
    <w:p>
      <w:r>
        <w:rPr>
          <w:b/>
        </w:rPr>
        <w:t>E. 2.5</w:t>
      </w:r>
    </w:p>
    <w:p>
      <w:r>
        <w:t>S’agissant des troubles à la cheville droite de la recourante, répondre aux questions suivantes :</w:t>
      </w:r>
    </w:p>
    <w:p>
      <w:r>
        <w:rPr>
          <w:b/>
        </w:rPr>
        <w:t>E. 2.5.1</w:t>
      </w:r>
    </w:p>
    <w:p>
      <w:r>
        <w:t>Diagnostics (précis).</w:t>
      </w:r>
    </w:p>
    <w:p>
      <w:r>
        <w:rPr>
          <w:b/>
        </w:rPr>
        <w:t>E. 2.5.2</w:t>
      </w:r>
    </w:p>
    <w:p>
      <w:r>
        <w:t>La recourante présentait-elle un état maladif antérieur ? dans l’affirmative, lequel ?</w:t>
      </w:r>
    </w:p>
    <w:p>
      <w:r>
        <w:rPr>
          <w:b/>
        </w:rPr>
        <w:t>E. 2.5.3</w:t>
      </w:r>
    </w:p>
    <w:p>
      <w:r>
        <w:t>L'événement du 23 septembre 2014 est-il la cause unique ou une cause partielle de l'atteinte à la santé de la recourante au-delà du 31 mars 2015, plus précisément, le lien de causalité entre son état de santé et l’accident du 6 septembre 2013 est-il seulement possible (moins de 50 %), probable (plus de 50 %) ou certain (100%) ?</w:t>
      </w:r>
    </w:p>
    <w:p>
      <w:r>
        <w:rPr>
          <w:b/>
        </w:rPr>
        <w:t>E. 2.5.4</w:t>
      </w:r>
    </w:p>
    <w:p>
      <w:r>
        <w:t>L'atteinte à la cheville droite de la recourante est-elle d’origine dégénérative ou l'événement du 23 septembre 2014 a-t-il joué un rôle dans la survenance de cette atteinte ?</w:t>
      </w:r>
    </w:p>
    <w:p>
      <w:r>
        <w:rPr>
          <w:b/>
        </w:rPr>
        <w:t>E. 2.5.5</w:t>
      </w:r>
    </w:p>
    <w:p>
      <w:r>
        <w:t>Le cas échéant, quels sont les facteurs étrangers à l'événement du 23 septembre 2014 qui ont contribué, avec ledit accident, aux lésions constatées ?</w:t>
      </w:r>
    </w:p>
    <w:p>
      <w:r>
        <w:rPr>
          <w:b/>
        </w:rPr>
        <w:t>E. 2.5.6</w:t>
      </w:r>
    </w:p>
    <w:p>
      <w:r>
        <w:t>L'événement du 23 septembre 2014 a-t-il déclenché un processus qui serait de toute façon survenu sans cet événement ?</w:t>
      </w:r>
    </w:p>
    <w:p>
      <w:r>
        <w:rPr>
          <w:b/>
        </w:rPr>
        <w:t>E. 2.5.7</w:t>
      </w:r>
    </w:p>
    <w:p>
      <w:r>
        <w:t>Le cas échéant, à partir de quand les facteurs étrangers sont-ils devenus les seules causes influentes sur l’état de santé (« statu quo sine » ou « statu quo ante » atteint) ?</w:t>
      </w:r>
    </w:p>
    <w:p>
      <w:r>
        <w:rPr>
          <w:b/>
        </w:rPr>
        <w:t>E. 2.5.8</w:t>
      </w:r>
    </w:p>
    <w:p>
      <w:r>
        <w:t>Partagez-vous l'avis du Dr D______ ? Si non, exposez pour quels motifs.</w:t>
      </w:r>
    </w:p>
    <w:p>
      <w:r>
        <w:rPr>
          <w:b/>
        </w:rPr>
        <w:t>E. 2.5.9</w:t>
      </w:r>
    </w:p>
    <w:p>
      <w:r>
        <w:t>Partagez-vous l'avis des Drs F______ et H______ ? Si non, exposez pour quels motifs.</w:t>
      </w:r>
    </w:p>
    <w:p>
      <w:r>
        <w:rPr>
          <w:b/>
        </w:rPr>
        <w:t>E. 2.5.10</w:t>
      </w:r>
    </w:p>
    <w:p>
      <w:r>
        <w:t>Faire toutes autres observations ou suggestions utiles.</w:t>
      </w:r>
    </w:p>
    <w:p>
      <w:r>
        <w:t>A/3637/2015 - 16/16 - 3. Commet à ces fins le Dr I______, chef de clinique service d’orthopédie pédiatrique des HUG, sous la supervision du Dr B______, médecin adjoint. 4. Invite l’expert à déposer d'ici au 18 juillet 2017 un rapport en trois exemplaires à la chambre de céans. 5. Rejette la demande de récusation de l'expert. 6. Réserve le fond.</w:t>
      </w:r>
    </w:p>
    <w:p>
      <w:r>
        <w:t>La greffière</w:t>
      </w:r>
    </w:p>
    <w:p>
      <w:r>
        <w:t>Irene PONCET</w:t>
      </w:r>
    </w:p>
    <w:p>
      <w:r>
        <w:t>La présidente</w:t>
      </w:r>
    </w:p>
    <w:p>
      <w:r>
        <w:t>Catherine TAPPONNIER</w:t>
      </w:r>
    </w:p>
    <w:p>
      <w:r>
        <w:t>Une copie conforme du présent arrêt est notifiée aux parties le</w:t>
      </w:r>
    </w:p>
    <w:p>
      <w:r>
        <w:rPr>
          <w:b/>
        </w:rPr>
        <w:t>E. 3</w:t>
      </w:r>
    </w:p>
    <w:p>
      <w:r>
        <w:t>Le recours, interjeté dans les forme et délai prévus par la loi, est recevable (art. 56 à 60 LPGA).</w:t>
      </w:r>
    </w:p>
    <w:p>
      <w:r>
        <w:rPr>
          <w:b/>
        </w:rPr>
        <w:t>E. 4</w:t>
      </w:r>
    </w:p>
    <w:p>
      <w:r>
        <w:t>Le litige porte sur le droit de la recourante à des prestations de l’assurance- accidents au-delà du 31 mars 2015.</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w:t>
      </w:r>
    </w:p>
    <w:p>
      <w:r>
        <w:t>A/3637/2015 - 11/16 - prépondérante, appliquée généralement à l'appréciation des preuves en assurances sociales (ATF 129 V 177 consid. 3.1 ; arrêt du Tribunal fédéral 8C_262/2008 du</w:t>
      </w:r>
    </w:p>
    <w:p>
      <w:r>
        <w:rPr>
          <w:b/>
        </w:rPr>
        <w:t>E. 6.2</w:t>
      </w:r>
    </w:p>
    <w:p>
      <w:r>
        <w:t>p. 323; cf. aussi ATF 138 V 271 en ce qui concerne les décisions des offices AI).</w:t>
      </w:r>
    </w:p>
    <w:p>
      <w:r>
        <w:rPr>
          <w:b/>
        </w:rPr>
        <w:t>E. 11</w:t>
      </w:r>
    </w:p>
    <w:p>
      <w:r>
        <w:t>L'art. 39 al. 2 LPA stipule que les causes de récusation de l'art. 15 al. 2 (recte : al. 1) LPA s'appliquent aux experts. Selon cette dernière disposition, les membres des autorités administratives appelés à rendre ou à préparer une décision doivent se récuser : a) s’ils ont un intérêt personnel dans l’affaire; b) s’ils sont parents ou alliés d’une partie en ligne directe ou jusqu’au troisième degré inclusivement en ligne collatérale ou s’ils sont unis par mariage, fiançailles, par partenariat enregistré, ou mènent de fait une vie de couple; c) s’ils représentent une partie ou ont agi pour une partie dans la même affaire; d) s’il existe des circonstances de nature à faire suspecter leur partialité. Les membres du Conseil d’Etat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w:t>
      </w:r>
    </w:p>
    <w:p>
      <w:r>
        <w:t>A/3637/2015 - 14/16 - Selon un 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Selon la jurisprudence, les jugements cantonaux, respectivement ceux du Tribunal administratif fédéral, rendus sur recours contre des décisions incidentes de l'assureur-accidents concernant la mise en oeuvre d'expertises, peuvent être déférés au Tribunal fédéral à condition qu'il ait été statué sur des motifs formels de récusation (art. 92 al. 1 LTF; ATF 138 V 271). Sont de nature formelle les motifs de récusation qui sont énoncés dans la loi (cf. art. 10 PA et 36 al. 1 LPGA) parce qu'ils sont propres à éveiller la méfiance à l'égard de l'impartialité de l'expert. Sont en revanche irrecevables les motifs de nature matérielle dirigés contre l'expertise elle-même (par exemple parce qu'il s'agit d'une "second opinion") ou le type et l'étendue de l'expertise (par exemple concernant le choix des disciplines) ou encore contre la personne de l'expert (par exemple ses compétences professionnelles). La récusation d'un expert ne peut pas non plus être justifiée par les conditions-cadres d'une expertise réalisée dans un COMAI (motifs structurels; arrêt 9C_207/2012 du 3 juillet 2013 consid. 1.2.1, non publié in ATF 139 V 349; ATF 138 V 318 consid.</w:t>
      </w:r>
    </w:p>
    <w:p>
      <w:r>
        <w:rPr>
          <w:b/>
        </w:rPr>
        <w:t>E. 12</w:t>
      </w:r>
    </w:p>
    <w:p>
      <w:r>
        <w:t>En l'espèce, les motifs de récusation soulevés ne visent pas un des motifs énumérés à l’art. 15 al. 1 let. a à c LPA, mais des motifs de nature matérielle, liés aux compétences de l'expert désigné. L'intimée se borne à affirmer qu'un expert certifié SIM serait nécessaire pour garantir suffisamment de connaissance assécurologique et ne voit pas l'intérêt de nommer comme expert un spécialiste en orthopédie pédiatrique. Ces motifs ne suffisent pas à faire sérieusement douter de la compétence de l'expert désigné pour effectuer l'expertise de la recourante, étant relevé qu'il a un statut de chef de clinique auprès des HUG, qu'il a accepté l'expertise après avoir été informé oralement de la problématique spécifique du cas d'espèce et qu'il sera, en outre, supervisé par le Dr B______. L'on ne voit pas en quoi le fait que l'expert désigné est chef de clinique au service d’orthopédie pédiatrique ne lui permettrait pas d'analyser correctement le cas d'un adulte, l'intimée ne le précise en tous les cas pas.</w:t>
      </w:r>
    </w:p>
    <w:p>
      <w:r>
        <w:rPr>
          <w:b/>
        </w:rPr>
        <w:t>E. 13</w:t>
      </w:r>
    </w:p>
    <w:p>
      <w:r>
        <w:t>La demande de l'intimée visant à obtenir la récusation du Dr I______ sera en conséquence rejetée.</w:t>
      </w:r>
    </w:p>
    <w:p>
      <w:r>
        <w:t>A/3637/2015 - 15/16 - PAR CES MOTIFS, LA CHAMBRE DES ASSURANCES SOCIALES : Statuant préparatoirement 1. Ordonne une expertise orthopédique, l'expert ayant pour mission d’examiner et d’entendre Mme A______, après s’être entouré de tous les éléments utiles et pris connaissance de son dossier médical complet ainsi que du dossier de la présente procédure, en s’entourant d’avis de tiers au besoin. 2. Charge l'expert de répondre aux questions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