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ATAS/331/2015 vom 5. Mai 2015</w:t>
      </w:r>
    </w:p>
    <w:p>
      <w:r>
        <w:t>GE Cour de justice, 2015-05-05, FR</w:t>
      </w:r>
    </w:p>
    <w:p>
      <w:r>
        <w:rPr>
          <w:b/>
        </w:rPr>
        <w:t xml:space="preserve">Quelle: </w:t>
      </w:r>
      <w:r>
        <w:t>https://mcp.opencaselaw.ch/entscheid/ge_gerichte_ATAS_331_2015</w:t>
      </w:r>
    </w:p>
    <w:p>
      <w:r>
        <w:t>FR: GE_GERICHTE ATAS/331/2015 du 5 mai 2015</w:t>
      </w:r>
    </w:p>
    <w:p>
      <w:r>
        <w:t>IT: GE_GERICHTE ATAS/331/2015 del 5 maggio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A/4033/2014 - 3/7 -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d’une suspension du droit à l’indemnité d’une durée de 3 jours prononcée à l’encontre de l’assuré, au motif qu’il ne s’est pas présenté à un entretien fixé le 11 novembre 2014 et qu’il n’a pas transmis son certificat médical dans un délai de cinq jours.</w:t>
      </w:r>
    </w:p>
    <w:p>
      <w:r>
        <w:rPr>
          <w:b/>
        </w:rPr>
        <w:t>E. 4</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Bundesver-waltungsrecht [SBVR], ch. 691 p. 251; GERHARDS, Kommentar zum Arbeitslosen-versicherungsgesetz [AVIG], tome 1, ad. art. 30). Selon la jurisprudence, le chômeur qui ne se rend pas à un entretien de conseil ou de contrôle assigné par l'autorité compétente doit être sanctionné si on peut déduire de son comportement de l'indifférence ou un manque d'intérêt (cf. ATF C 145/01 notamment). En revanche, s'il a manqué un rendez-vous à la suite d'une erreur ou d'une inattention de sa part et que son comportement général témoigne qu'il prend au sérieux les prescriptions de l'ORP, une sanction ne se justifie en principe pas</w:t>
      </w:r>
    </w:p>
    <w:p>
      <w:r>
        <w:t>A/4033/2014 - 4/7 -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a- t-il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est injustifiée (cf. cf. arrêts non publiés C. du 22 décembre 1998, C 268/98, et F. du 8 juin 1998, C 30/98; ATFA C 123/04). En revanche, le TFA a admis que le comportement de l'assuré devait être sanctionné lorsque celui-ci ne s'est pas immédiatement excusé pour son absence, due à un oubli, mais seulement après que l'office compétent l'eut sommé d'en expliquer les raisons (arrêt non publié R. du 23 décembre 1998 [C 336/98]). Dans un autre cas, il a confirmé la suspension de trois jours prononcée par l'ORP parce que l'assuré ne s'était pas excusé spontanément de son absence, sans invoquer de motif valable par la suite et sans pouvoir faire état dans le passé d'un comportement irréprochable (ATFA du 4 octobre 2001 C 145/01).</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w:t>
      </w:r>
    </w:p>
    <w:p>
      <w:r>
        <w:t>A/4033/2014 - 5/7 - l'administration ou le juge devrait statuer, dans le doute, en faveur de l'assuré (ATF 126 V 322 consid. 5a).</w:t>
      </w:r>
    </w:p>
    <w:p>
      <w:r>
        <w:rPr>
          <w:b/>
        </w:rPr>
        <w:t>E. 6</w:t>
      </w:r>
    </w:p>
    <w:p>
      <w:r>
        <w:t>En l’espèce, il n’est pas contesté que l'assuré ne s’est pas présenté à l’entretien fixé au 11 novembre 2014 à l’ORP. Il allègue toutefois avoir été malade (fièvre et grippe). Il a consulté un médecin, le Dr B______, lequel a établi un certificat médical le même jour, attestant d’une incapacité de travail à 100% jusqu’au 13 novembre 2014. Il résulte de ce qui précède que l’assuré était bien dans l’incapacité, pour des raisons de santé, de se rendre à son rendez-vous.</w:t>
      </w:r>
    </w:p>
    <w:p>
      <w:r>
        <w:rPr>
          <w:b/>
        </w:rPr>
        <w:t>E. 7</w:t>
      </w:r>
    </w:p>
    <w:p>
      <w:r>
        <w:t>Cela étant, l'assuré affirme avoir demandé à son épouse de déposer le certificat médical au guichet de l’ORP le jour même de l'entretien. Or, il n'y a pas mention dans le dossier du passage de l'épouse au guichet. L’OCE lui reproche ainsi de n’avoir pas transmis le certificat médical dans les cinq jours et entend de ce fait prononcer une sanction de trois jours à son encontre. Il se fonde à cet égard sur les instructions de l’ORP découlant de l’art. 42 OACI, aux termes duquel « 1 Les assurés qui entendent faire valoir leur droit à l'indemnité journalière en cas d'incapacité passagère totale ou partielle de travail sont tenus d'annoncer leur incapacité de travail à l'ORP, dans un délai d'une semaine à compter du début de celle-ci. 2 Si l'assuré annonce son incapacité de travail après ce délai sans excuse valable et qu'il ne l'a pas non plus indiquée sur la formule «Indications de la personne assurée», il perd son droit à l'indemnité journalière pour les jours d'incapacité précédant sa communication ». Selon l’ATF 117 V 244, l’art. 42 al. 1 OACI est conforme à la loi. Le délai d'une semaine pour annoncer l'incapacité de travail en raison de maladie, d'accident ou de maternité est un délai de déchéance: le chômeur qui s'annonce tardivement - et sans excuse valable - perd son droit à l'indemnité journalière pour les jours précédant la communication. Le Secrétariat d'Etat à l'économie (SECO) a précisé dans le Bulletin LACI, n° C 172 que « L’assuré doit annoncer son incapacité de travail à l’ORP dans un délai d’une semaine à compter du début de celle-ci. S’il l’annonce sans excuse valable qu’après l’expiration de ce délai d’une semaine et qu’il ne la mentionne pas dans le formulaire « Indications de la personne assurée », l’assuré perd son droit à l’indemnité journalière pour les jours où il a été en incapacité de travailler sans l’annoncer. De même, si l’assuré ne répond pas conformément à la vérité aux questions concernant l’incapacité de travail, son avis n’est pas considéré comme remis à temps avec pour conséquence la perte de son droit à l’indemnité pour les jours précédant l’avis.</w:t>
      </w:r>
    </w:p>
    <w:p>
      <w:r>
        <w:t>A/4033/2014 - 6/7 - En cas d’infraction répétée à son obligation d’aviser, l’assuré se verra infliger, outre la perte de son droit à l’indemnité pour les jours précédant l’avis, une suspension de son droit à l’indemnité en vertu de l’art. 30 al. 1 let. e LACI. S’il s’avère que l’assuré a enfreint son obligation d’aviser dans le but d’obtenir indûment l’indemnité, il devra alors être suspendu dans son droit à l’indemnité en vertu de l’art. 30 al. 1 let. f LACI (D 41 ss) ».</w:t>
      </w:r>
    </w:p>
    <w:p>
      <w:r>
        <w:rPr>
          <w:b/>
        </w:rPr>
        <w:t>E. 8</w:t>
      </w:r>
    </w:p>
    <w:p>
      <w:r>
        <w:t>Il est vrai que l'administration n'a eu connaissance du certificat médical que dans le cadre de l'opposition du 24 novembre 2014. Il paraît pourtant vraisemblable, au degré requis par la jurisprudence, que le certificat médical, établi le jour même de l’entretien, ait été dûment remis. On ne comprendrait pas que l’assuré ait gardé ce document par devers lui, alors que, souffrant d'une simple grippe dont les symptômes permettent en principe à tout un chacun de poser un diagnostic sans avoir à prendre l'avis d'un médecin, il a pris la peine d'en consulter un. La question peut toutefois rester ouverte, au vu de ce qui suit.</w:t>
      </w:r>
    </w:p>
    <w:p>
      <w:r>
        <w:rPr>
          <w:b/>
        </w:rPr>
        <w:t>E. 9</w:t>
      </w:r>
    </w:p>
    <w:p>
      <w:r>
        <w:t>L'art. 42 OACI pris en considération par l'OCE s'applique en effet au droit des assurés aux indemnités de l'assurance-chômage. Aucune disposition, légale ou règlementaire, ni jurisprudence, n’oblige ainsi l’assuré à fournir un certificat médical en bonne et due forme et dans un certain délai lorsqu’il n’a pu respecter des prescriptions de contrôle (ATAS/1198/2013). Tant la loi que la jurisprudence parlent simplement de « motif valable » (art. 30 al. 1 let. d LACI, arrêt du TF du 21 février 2003 en la cause C 95/02).</w:t>
      </w:r>
    </w:p>
    <w:p>
      <w:r>
        <w:rPr>
          <w:b/>
        </w:rPr>
        <w:t>E. 10</w:t>
      </w:r>
    </w:p>
    <w:p>
      <w:r>
        <w:t>Force est en conséquence de constater, au vu du certificat médical produit par l'assuré, qu’il avait bel et bien un motif valable à faire valoir et qu’on ne saurait déduire de son comportement de l’indifférence ou un manque d’intérêt. Partant, il n’y a pas lieu de maintenir la sanction appliquée par l'OCE. Au vu de ce qui précède, le recours est admis.</w:t>
      </w:r>
    </w:p>
    <w:p>
      <w:r>
        <w:t>A/4033/2014 - 7/7 -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