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ATAS/331/2013 vom 9. April 2013</w:t>
      </w:r>
    </w:p>
    <w:p>
      <w:r>
        <w:t>GE Cour de justice, 2013-04-09, FR</w:t>
      </w:r>
    </w:p>
    <w:p>
      <w:r>
        <w:rPr>
          <w:b/>
        </w:rPr>
        <w:t xml:space="preserve">Quelle: </w:t>
      </w:r>
      <w:r>
        <w:t>https://mcp.opencaselaw.ch/entscheid/ge_gerichte_ATAS_331_2013</w:t>
      </w:r>
    </w:p>
    <w:p>
      <w:r>
        <w:t>FR: GE_GERICHTE ATAS/331/2013 du 9 avril 2013</w:t>
      </w:r>
    </w:p>
    <w:p>
      <w:r>
        <w:t>IT: GE_GERICHTE ATAS/331/2013 del 9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loi fédérale sur la partie générale du droit des assurances sociales du 6 octobre 2000 (LPGA) est entrée en vigueur le 1er janvier 2003 et est applicable au cas d'espèce.</w:t>
      </w:r>
    </w:p>
    <w:p>
      <w:r>
        <w:rPr>
          <w:b/>
        </w:rPr>
        <w:t>E. 3</w:t>
      </w:r>
    </w:p>
    <w:p>
      <w:r>
        <w:t>Déposé dans le délai et la forme prescrits (art. 56 ss LPGA), le recours est recevable.</w:t>
      </w:r>
    </w:p>
    <w:p>
      <w:r>
        <w:rPr>
          <w:b/>
        </w:rPr>
        <w:t>E. 4</w:t>
      </w:r>
    </w:p>
    <w:p>
      <w:r>
        <w:t>Le litige porte sur le droit du SPC de réclamer à l'assurée le remboursement des prestations versées du 1er juin 2011 au 31 juillet 2012, soit 6'832 fr.</w:t>
      </w:r>
    </w:p>
    <w:p>
      <w:r>
        <w:rPr>
          <w:b/>
        </w:rPr>
        <w:t>E. 5</w:t>
      </w:r>
    </w:p>
    <w:p>
      <w:r>
        <w:t>a) 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 b)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w:t>
      </w:r>
    </w:p>
    <w:p>
      <w:r>
        <w:t>A/3916/2012 - 6/10 - ou donnant droit à une rente pour enfant de l’AVS ou de l’AI sont additionnés. Il en va de même pour des orphelins faisant ménage commun. c) L’art. 10 al. 1er let. a LPC prévoit, pour les personnes qui ne vivent pas en permanence ni pour une longue période dans un home ou dans un hôpital (personnes vivant à domicile), que les dépenses reconnues comprennent les montants destinés à la couverture des besoins vitaux, selon les montants fixés par année pour les personnes seules (ch. 1) et pour les couples (ch. 2). Selon la let. b de cette disposition, les dépenses reconnues comprennent en outre le loyer d’un appartement et les frais accessoires y relatifs ; le montant annuel maximal reconnu est de 13'200 fr. pour les personnes seules (ch. 1), 15'000 fr. pour les couples.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w:t>
      </w:r>
    </w:p>
    <w:p>
      <w:r>
        <w:rPr>
          <w:b/>
        </w:rPr>
        <w:t>E. 6</w:t>
      </w:r>
    </w:p>
    <w:p>
      <w:r>
        <w:t>a) Selon l'art. 13 LPGA, applicable par renvoi des art. 1 al. 1 LPC et 1A LPCC, en vigueur depuis le 1er janvier 2008, le domicile d'une personne est déterminé selon les art. 23 à 26 du code civil du 10 décembre 1907 (CC; RS 210).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 delà d'une année la durée du séjour. Il en va de même lorsque des motifs contraignants existant dès le début exigent une résidence à l'étranger de durée</w:t>
      </w:r>
    </w:p>
    <w:p>
      <w:r>
        <w:t>A/3916/2012 - 7/10 -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rPr>
          <w:b/>
        </w:rPr>
        <w:t>E. 7</w:t>
      </w:r>
    </w:p>
    <w:p>
      <w:r>
        <w:t>Selon les directives de l'OFAS concernant les prestations complémentaires à l'AVS/AI, le lieu où une personne réside est considéré comme son domicile, lorsque l’existence d’un domicile antérieur ne peut être établie ou lorsqu’elle a quitté son domicile à l’étranger et n’en a pas acquis un nouveau en Suisse (DPC no 1210.05).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no 2330.01 et 02).</w:t>
      </w:r>
    </w:p>
    <w:p>
      <w:r>
        <w:rPr>
          <w:b/>
        </w:rPr>
        <w:t>E. 8</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w:t>
      </w:r>
    </w:p>
    <w:p>
      <w:r>
        <w:t>A/3916/2012 - 8/10 - indépendantes de la bonne foi du bénéficiaire des prestations, car il s'agit simplement de rétablir l'ordre légal, après la découverte du fait nouveau (ATF non publié P 61/2004 du 23 mars 2006). b)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9</w:t>
      </w:r>
    </w:p>
    <w:p>
      <w:r>
        <w:t>En l'espèce, il ressort des registres de l'OCP que l'époux de l'assurée est à nouveau domicilié à Genève, avec l'assurée, depuis le 12 mai 2011, en provenance de Belgrade. Cela est confirmé par le pli de l'OCP du 30 mai 2011. Après quelques hésitations et contradictions, l'assurée a d'ailleurs admis que le retour de son époux datait de 2011 et non pas de 2012. Les déclarations concordantes de l'assurée et du fils du couple confirment qu'il ne s'agit pas d'un séjour destiné à une hospitalisation ou des soins médicaux ; dans ce cas, le domicile à Belgrade aurait été conservé. L'époux de l'assuré est ainsi définitivement rentré en Suisse, il y vit avec l'assurée et leur fils ; peu importe à cet égard que ce soit pour des motifs de santé qu'il ait décidé de déplacer son domicile à Genève, le fait est qu'il s'agit désormais effectivement de son domicile, soit le centre de ses intérêts et de ses liens familiaux. Ainsi, cette modification de la situation personnelle de l'assurée, soit la reprise de la vie commune, devait être annoncée au SPC, conformément aux indications figurant notamment sur la "communication importante" adressée chaque année aux assurés. Conformément à l'art. 25 LPGA et à la jurisprudence rendue en la matière, cela justifie la révision de la décision de prestations avec effet rétroactif au début du mois suivant la date du changement de situation, soit au 1er juin 2011. Or, dès cette date, c'est le barème pour couple qui est applicable et ce sont l'ensemble des revenus, y compris la rente LPP de l'époux de l'assurée, qui doivent être pris en compte, ce qui exclut toutes prestations. Sur ce point donc, la décision du SPC est bien fondée. L'assurée reproche au SPC d'avoir continué à lui verser des prestations au-delà du 1er janvier 2012, malgré le fait qu'elle avait annoncé son départ pour plus de trois mois. Il s'avère toutefois que l'assurée ne s'est pas absentée 92 jours consécutifs, puisqu'elle était à Genève, non seulement lors de l'entretien téléphonique entre son mari et le SPC le 16 mars 2012, mais aussi le 22 mars 2012, lorsqu'elle a signé le formulaire renvoyé au SPC. Cela a été confirmé par son fils et finalement admis par l'assurée. La condition d'une absence de plus de trois mois consécutifs pour la suspension du versement des prestations n'était donc pas remplie. Ainsi et pour autant que cela soit pertinent en l'espèce, aucun reproche ne peut être formulé à l'encontre du SPC à cet égard. Au demeurant, l'assurée n'a jamais explicitement</w:t>
      </w:r>
    </w:p>
    <w:p>
      <w:r>
        <w:t>A/3916/2012 - 9/10 - écrit au SPC qu'elle renonçait aux prestations pour l'avenir. Elle admet d'ailleurs qu'elle pensait - à juste titre - ne plus en avoir besoin et ne plus y avoir droit, compte tenu du retour de son mari. Elle a au surplus continué à percevoir ces prestations, chaque mois, de janvier à juillet 2012, sans réagir par écrit, malgré les courriers adressés au SPC durant cette période (formulaire et courrier du 22 mars 2012, courrier du 18 avril 2012). C'est donc à juste titre que le SPC a réclamé à l'assurée la restitution des prestations versées à tort du 1er juin 2011 au 31 juillet 2012, étant rappelé qu'une décision de restitution a pour seul but de rétablir l'ordre légal, sans égard à l'éventuelle bonne foi de l'assurée, qui doit être examinée ensuite, dans le cadre d'une demande de remise, que l'intéressée peut déposer auprès du SPC si elle estime que les conditions cumulatives de la bonne foi et de la situation financière difficile sont réalisées. Pour le surplus, il a déjà été tenu compte de la présence du fils dans le logement du couple, sans qu'il soit nécessaire de retenir un loyer proportionnel, car le total du loyer, de plus de 30'000 fr, est pris en compte au maximum du barème applicable au couple, soit 15'000 fr.</w:t>
      </w:r>
    </w:p>
    <w:p>
      <w:r>
        <w:rPr>
          <w:b/>
        </w:rPr>
        <w:t>E. 10</w:t>
      </w:r>
    </w:p>
    <w:p>
      <w:r>
        <w:t>Le recours, mal fondé, est rejeté.</w:t>
      </w:r>
    </w:p>
    <w:p>
      <w:r>
        <w:t>A/3916/2012 - 10/10 -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