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ATAS/330/2014 vom 24. März 2014</w:t>
      </w:r>
    </w:p>
    <w:p>
      <w:r>
        <w:t>GE Cour de justice, 2014-03-24, FR</w:t>
      </w:r>
    </w:p>
    <w:p>
      <w:r>
        <w:rPr>
          <w:b/>
        </w:rPr>
        <w:t xml:space="preserve">Quelle: </w:t>
      </w:r>
      <w:r>
        <w:t>https://mcp.opencaselaw.ch/entscheid/ge_gerichte_ATAS_330_2014</w:t>
      </w:r>
    </w:p>
    <w:p>
      <w:r>
        <w:t>FR: GE_GERICHTE ATAS/330/2014 du 24 mars 2014</w:t>
      </w:r>
    </w:p>
    <w:p>
      <w:r>
        <w:t>IT: GE_GERICHTE ATAS/330/2014 del 24 marzo 2014</w:t>
      </w:r>
    </w:p>
    <w:p>
      <w:pPr>
        <w:pStyle w:val="Heading2"/>
      </w:pPr>
      <w:r>
        <w:t>Erwägungen</w:t>
      </w:r>
    </w:p>
    <w:p>
      <w:r>
        <w:rPr>
          <w:b/>
        </w:rPr>
        <w:t>E. 1</w:t>
      </w:r>
    </w:p>
    <w:p>
      <w:r>
        <w:t>Conformément à l'art. 134 al. 1 let. a ch. 2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rPr>
          <w:b/>
        </w:rPr>
        <w:t>E. 3</w:t>
      </w:r>
    </w:p>
    <w:p>
      <w:r>
        <w:t>Interjeté dans les forme et délai prescrits par la loi, le recours est recevable (art. 56ss LPGA).</w:t>
      </w:r>
    </w:p>
    <w:p>
      <w:r>
        <w:rPr>
          <w:b/>
        </w:rPr>
        <w:t>E. 4</w:t>
      </w:r>
    </w:p>
    <w:p>
      <w:r>
        <w:t>L’objet du litige porte sur le droit du recourant à une rente, ainsi que sur son droit à des mesures d’orientation professionnelle.</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w:t>
      </w:r>
    </w:p>
    <w:p>
      <w:r>
        <w:t>A/3526/2013 - 12/20 - 40%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w:t>
      </w:r>
    </w:p>
    <w:p>
      <w:r>
        <w:rPr>
          <w:b/>
        </w:rPr>
        <w:t>E. 6</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Les mesures ne seront donc pas allouées si elles semblent d'emblée vouées à l'échec (ATFA non publié I 170/06 du 16 février 2007, consid. 3.2 et 3.4).</w:t>
      </w:r>
    </w:p>
    <w:p>
      <w:r>
        <w:t>A/3526/2013 - 13/20 -</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w:t>
      </w:r>
    </w:p>
    <w:p>
      <w:r>
        <w:t>A/3526/2013 - 14/20 -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non publié 9C_405/2008 du 29 septembre 2008, consid. 3.2).</w:t>
      </w:r>
    </w:p>
    <w:p>
      <w:r>
        <w:rPr>
          <w:b/>
        </w:rPr>
        <w:t>E. 8</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ATF 128 V 174).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w:t>
      </w:r>
    </w:p>
    <w:p>
      <w:r>
        <w:t>A/3526/2013 - 15/20 - inférieure aux normes de salaire usuelles. On peut également songer à la situation dans laquelle le poste de travail de l'assuré avant la survenance de l'atteinte à la santé n'existe plus au moment déterminant de l'évaluation de l'invalidité (ATFA non publié I 168/05 du 24 avril 2006, consid. 3.3; ATFA non publié B 80/01 du 17 octobre 2003, consid. 5.2.2). c)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(RAMA 2000 n° U 405, consid. 3b ; ATFA non publié 9C_142/2009 du 20 novembre 2009, consid. 4.1; ATFA non publié 9C_237/2007 du 24 août 2007, consid. 5.1).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consid. 5b).</w:t>
      </w:r>
    </w:p>
    <w:p>
      <w:r>
        <w:rPr>
          <w:b/>
        </w:rPr>
        <w:t>E. 9</w:t>
      </w:r>
    </w:p>
    <w:p>
      <w:r>
        <w:t>Il y a lieu de déterminer si l’expertise du Dr AC________ correspond aux critères dégagés par la jurisprudence. L’expert a pris connaissance du dossier complet du recourant, et a ensuite retracé son anamnèse personnelle ainsi que son historique médical. Il a relaté les plaintes du recourant avant de procéder à un examen clinique complet. S’agissant des diagnostics posés, ils sont clairs et correspondent d’ailleurs aux atteintes évoquées par les autres médecins. Quant aux conclusions, elles peuvent de prime abord paraître imprécises, voire contradictoires. En effet, le Dr AC________ a fait d’état d’une capacité de travail n’atteignant pas encore 100 % en raison de la fatigabilité du recourant, avant d’indiquer qu’elle était entière depuis novembre 2010 en tout cas. Ces apparentes contradictions s’expliquent cependant par le fait que si la capacité de travail en soi est complète, on ne peut prendre en considération un taux d’activité complet en raison de la diminution de rendement du recourant. On ajoutera que les conclusions de l’expert sont motivées, puisqu’il expose les raisons qui l’amènent à retenir une capacité de travail complète en relevant les</w:t>
      </w:r>
    </w:p>
    <w:p>
      <w:r>
        <w:t>A/3526/2013 - 16/20 - améliorations de l’état de santé du recourant. S’agissant du caractère adapté d’une activité de chauffeur au vu des limitations fonctionnelles, les conclusions de l’expert divergent de celles des Dresses T_________ et AE________. Ce seul point ne suffit cependant pas à enlever toute valeur probante au rapport du Dr AC________. En effet, même s’il fallait admettre que le recourant ne peut plus être employé en tant que chauffeur, le marché du travail offre un éventail suffisamment large d'activités légères (ATF non publié 9C_31/2010 du 28 septembre 2010, consid. 4.3), et un nombre significatif d’entre elles sont adaptées aux limitations du recourant et accessibles sans aucune formation particulière. Il n’existe au demeurant aucun rapport médical permettant de s’écarter du rapport de l’expert mandaté par l’OAI. En effet, l’incapacité de travail attestée par la Dresse AF________ en septembre 2010 n’est nullement motivée. Tel est également le cas des certificats de la Dresse V_________ des 25 janvier 2011, du 18 avril 2012 et du Dr AD________ du 18 février 2013. Quant au médecin-conseil du COPAI, son pronostic se fonde sur la perception du recourant et non sur des éléments médicaux objectifs. Le Dr U_________ ne se prononce d’ailleurs pas formellement sur la capacité de travail du recourant. Les limitations fonctionnelles qu’il retient, soit l’exclusion des positions statiques et des travaux de force, concordent de plus largement avec celles définies par l’expert. Le rapport du 31 mars 2011 des Drs AB________ et V_________ ne fait état d’aucun diagnostic qu’aurait ignoré le Dr AC________. Ce dernier a en effet tenu compte des lombalgies et de la polyneuropathie dans les limitations fonctionnelles. Les atteintes rapportées par la Dresse AE________ sont également connues et ont été prises en considération par l’expert. Celle-ci n’exclut d’ailleurs pas la reprise d’une activité adaptée. Enfin, contrairement à ce qu’affirme le recourant, le Dr AC________ a bien tenu compte de l’atteinte hépatique puisqu’il a admis une réduction du rendement en raison de la fatigabilité qu’elle entraîne. Partant, le rapport du Dr AC________ doit se voir reconnaître une pleine valeur probante et il y a lieu de se rallier à ses conclusions, aux termes desquels la capacité de travail était nulle dès 2008 et se situe entre 70 % et 80 % depuis novembre 2010, compte tenu de la diminution de rendement. En particulier, on ne peut suivre la Dresse T_________ lorsqu’elle fixe le début de l’incapacité de travail à juillet 2008. Il faut en effet rappeler que le Dr AC________ a admis une incapacité de travail dès 2008. A défaut de précision sur le mois au cours duquel l’incapacité de travail totale a débuté, on ne peut comprendre cette conclusion autrement qu’au sens où l’incapacité de travail était nulle durant toute l’année, c’est-à-dire dès janvier. De plus, l’expert a indiqué que la capacité de travail a été en constante diminution avant la décompensation de l’atteinte hépatique. Or, le recourant a été hospitalisé au Service de gastroentérologie des HUG en mai 2008 en raison de cette affection. On doit donc considérer que l’atteinte était alors à son paroxysme et que la capacité de travail était déjà réduite à néant dans les quelques mois qui précèdent, soit dès le début de l’année, conformément aux indications de l’expert.</w:t>
      </w:r>
    </w:p>
    <w:p>
      <w:r>
        <w:t>A/3526/2013 - 17/20 -</w:t>
      </w:r>
    </w:p>
    <w:p>
      <w:r>
        <w:rPr>
          <w:b/>
        </w:rPr>
        <w:t>E. 10</w:t>
      </w:r>
    </w:p>
    <w:p>
      <w:r>
        <w:t>Eu égard à ce qui précède, le droit à la rente pouvait théoriquement naître dès janvier 2009, soit à l’expiration du délai de carence d’une année prévu à l’art. 28 al. 1 let. b LAI. L’art. 29 al. 1 LAI prévoit toutefois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 La demande du recourant étant intervenue en août 2008, le droit à la rente s’ouvre en février 2009. Dès le mois de novembre 2010, le recourant a recouvré une pleine capacité de travail dans une activité adaptée, conformément aux conclusions du Dr AC________. Selon l’art. 88a al. 1 du règlement sur l’assurance-invalidité (RAI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C’est donc à juste titre que l’intimé a procédé à un nouveau calcul du degré d’invalidité dès février 2011, soit trois mois après l’amélioration retenue. Il convient cependant de vérifier ce calcul. L’intimé a retenu à titre de revenu sans invalidité le revenu mensuel de 4'478 fr. 60 annoncé par l’employeur pour 1998, multiplié par 13 mensualités. On ne s’écartera pas du montant ainsi obtenu de 58'221 fr. 80 par an. Indexé à 2011, le revenu sans invalidité s’élève à 69'052 fr. 90. Le recours aux salaires statistiques pour définir le revenu d’invalide est conforme à la jurisprudence citée. Selon l’Enquête suisse sur la structure des salaires, le revenu moyen tiré d’activités simples et répétitives dans le secteur privé en 2010 était pour les hommes de 4'901 fr. par mois pour 40 heures par semaine, part du 13ème salaire incluse (Tableau TA1, ligne Total), soit 58'812 fr. par an. Compte tenu de l’indexation jusqu’en 2011 et d’une durée de travail moyenne de 41.7 heures hebdomadaires en 2011 selon la statistique sur la durée normale du travail (DNT), le revenu d’invalide était de 61'924 fr. 60 à temps complet. L’intimé a tenu compte d’une capacité de travail de 75 %, soit la moyenne de la baisse de rendement articulée par le Dr AC________. On peut se demander s’il n’y aurait pas lieu de corriger cette moyenne en tenant compte du taux le plus bas articulé par l’expert, soit 70 %. Cette question peut cependant rester ouverte, dès lors qu’elle n’aurait pas d’incidence sur l’issue du litige pour les motifs suivants. L’OAI a procédé à un abattement de 10 % en raison de l’âge de l’assuré, alléguant qu’il n’existait pas d’autres facteurs réducteurs. Sur ce point, il convient de rappeler que l'étendue de l'abattement justifié dans un cas concret relève du pouvoir d'appréciation (ATF 132 V 393 consid. 3.3). Conformément à l'art. 61 al. 1 let. a de</w:t>
      </w:r>
    </w:p>
    <w:p>
      <w:r>
        <w:t>A/3526/2013 - 18/20 - la loi sur la procédure administrative (LPA; RSG E 5 10), seul l'abus ou l'excès du pouvoir d'appréciation peut être revu par la Cour de céans. Il y a notamment excès de pouvoir d'appréciation négatif lorsque l'autorité renonce à faire usage de son pouvoir d'appréciation (ATF 116 V 307 consid. 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non publié 8C_33/2012 du 26 juin 2012, consid. 2). En l’espèce, en n’admettant qu’une réduction de 10 % en raison de l’âge du recourant, l’intimé a insuffisamment tenu compte des autres limitations fonctionnelles et a commis sur ce point un excès négatif de son pouvoir d’appréciation. Il y a lieu de corriger l’abattement et de l’augmenter à 15 % afin de tenir compte de l’ensemble des facteurs influant sur le revenu. En effet, conformément à la jurisprudence citée, les limitations fonctionnelles présentées par un assuré justifient un abattement sur le salaire statistique. Le gain avec invalidité s’élève ainsi à 39'476 fr. 90 et la comparaison des revenus aboutit à un degré d’invalidité de 42.83 %, ce qui ouvre le droit à un quart de rente dès février 2011. Le même calcul opéré en tenant compte d’une capacité de travail de 70 % plutôt que de 75 % conduirait à un revenu d’invalide de 36'845 fr. 15, soit un degré d’invalidité de 46.64 %, insuffisant pour ouvrir le droit à une demi-rente.</w:t>
      </w:r>
    </w:p>
    <w:p>
      <w:r>
        <w:rPr>
          <w:b/>
        </w:rPr>
        <w:t>E. 11</w:t>
      </w:r>
    </w:p>
    <w:p>
      <w:r>
        <w:t>Reste à examiner le droit à des mesures d’ordre professionnel. L’intimé a nié le droit à de telles prestations au motif qu’elles seraient vouées à l’échec. Il est vrai que bien que le recourant affirme ne pas être opposé à une réinsertion professionnelle, il n’a pas donné suite aux mesures professionnelles organisées, alors que selon les renseignements recueillis par la suite auprès des médecins, il ne présentait pas de nouvelle atteinte par rapport à l’expertise réalisée par le Dr AC________. Contrairement à ce qu’il allègue, on ne trouve pas trace au dossier d’une communication des EPI à l’intimé, selon laquelle le stage ne serait pas adapté à ses limitations. Cependant, ces éléments ne suffisent pas à conclure à un manque de faculté subjective de reclassement du recourant, qui permettrait de considérer que les mesures d’ordre professionnel seraient vouées à l’échec. En effet, il y a lieu de rappeler que selon l’art. 21 al. 4 LPGA, les prestations peuvent être réduites ou refusées temporairement ou définitivement si l'assuré se soustrait ou s'oppose, ou encore ne participe pas spontanément, dans les limites de ce qui</w:t>
      </w:r>
    </w:p>
    <w:p>
      <w:r>
        <w:t>A/3526/2013 - 19/20 -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Selon une jurisprudence constante, le droit à des mesures de reclassement à cause d'invalidité ne peut être refusé en raison du manque de faculté subjective de reclassement que dans la mesure où la procédure de mise en demeure prescrite à l'art. 21 al. 4 LPGA a été observée (ATF non publié 9C_100/2008 du 4 février 2009, consid. 3.2 ; ATFA non publié I 552/06 du 13 juin 2007, consid. 4.1). L'intimé n'ayant pas adressé la sommation légale au recourant, la cause devra lui être renvoyée pour qu’il y procède avant de statuer une nouvelle fois sur le droit aux mesures d'ordre professionnel en fonction de la suite que le recourant aura donnée à cette mise en demeure.</w:t>
      </w:r>
    </w:p>
    <w:p>
      <w:r>
        <w:rPr>
          <w:b/>
        </w:rPr>
        <w:t>E. 12</w:t>
      </w:r>
    </w:p>
    <w:p>
      <w:r>
        <w:t>Eu égard à ce qui précède, le recours est partiellement admis au sens des considérants. Le recourant, qui n’est pas représenté, n’a pas droit à des dépens (art. 61 let. g LPGA). La procédure n'étant pas gratuite en matière d’assurance-invalidité, l'intimé supportera l’émolument de 500 fr. (art. 69 al. 1bis LAI).</w:t>
      </w:r>
    </w:p>
    <w:p>
      <w:r>
        <w:t>A/3526/2013 - 20/20 -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