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ATAS/32/2016 vom 20. Januar 2016</w:t>
      </w:r>
    </w:p>
    <w:p>
      <w:r>
        <w:t>GE Cour de justice, 2016-01-20, FR</w:t>
      </w:r>
    </w:p>
    <w:p>
      <w:r>
        <w:rPr>
          <w:b/>
        </w:rPr>
        <w:t xml:space="preserve">Quelle: </w:t>
      </w:r>
      <w:r>
        <w:t>https://mcp.opencaselaw.ch/entscheid/ge_gerichte_ATAS_32_2016</w:t>
      </w:r>
    </w:p>
    <w:p>
      <w:r>
        <w:t>FR: GE_GERICHTE ATAS/32/2016 du 20 janvier 2016</w:t>
      </w:r>
    </w:p>
    <w:p>
      <w:r>
        <w:t>IT: GE_GERICHTE ATAS/32/2016 del 20 gennaio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du recourant à une indemnité pour atteinte à l’intégrité en raison des séquelles de son accident du 23 mai 2010.</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w:t>
      </w:r>
    </w:p>
    <w:p>
      <w:r>
        <w:rPr>
          <w:b/>
        </w:rPr>
        <w:t>E. 6</w:t>
      </w:r>
    </w:p>
    <w:p>
      <w:r>
        <w:t>a) A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w:t>
      </w:r>
    </w:p>
    <w:p>
      <w:r>
        <w:t>A/1352/2015 - 11/16 -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2ème éd. 2007, n. 235; arrêt du Tribunal fédéral 8C_703/2008 du 25 septembre 2009 consid. 5.1). Enfin, l'existence d'une atteinte à l'intégrité est indépendante de la diminution de la capacité de gain, comme cela ressort d'ailleurs de la lettre de l'art. 36 al. 1 OLAA (Thomas FREI, Die Integritätsentschädigung nach Art. 24 und 25 des Bundesgesetzes über die Unfallversicherung, thèse Fribourg 1998, p. 27).</w:t>
      </w:r>
    </w:p>
    <w:p>
      <w:r>
        <w:rPr>
          <w:b/>
        </w:rPr>
        <w:t>E. 7</w:t>
      </w:r>
    </w:p>
    <w:p>
      <w:r>
        <w:t>Selon la table 2 d’indemnisation de l’intimée, concernant les atteintes à l’intégrité résultant de troubles fonctionnels des membres inférieurs, un raccourcissement du membre inférieur de 2 cm au maximum, sans autres altérations morphologiques ou fonctionnelles (par exemple un défaut de rotation ou un déplacement de l'axe), ne donne droit à aucune indemnisation. Un raccourcissement du membre inférieur de</w:t>
      </w:r>
    </w:p>
    <w:p>
      <w:r>
        <w:t>A/1352/2015 - 12/16 - 3 à 4 cm correspond à une indemnité de 10 %, et un raccourcissement de 6 cm à une indemnité de 15 %.</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w:t>
      </w:r>
    </w:p>
    <w:p>
      <w:r>
        <w:t>A/1352/2015 - 13/16 -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En l’espèce, le Dr I______ a conclu à un raccourcissement de 1.4 cm du membre inférieur droit du recourant dans son appréciation du 28 octobre 2014, se fondant sur des radiographies réalisées sur les membres inférieurs. Le recourant y oppose l’avis du Dr J______, lequel se base sur une radiographie du bassin. Or, le Dr I______ a exposé de manière circonstanciée pour quels motifs les clichés radiologiques de l’intégralité des membres inférieurs étaient plus sûrs que la méthode consistant à mesurer une différence de longueur sur la base d’une image du bassin dans son rapport du 22 janvier 2015. Ses explications sont motivées, claires et convaincantes. On ajoutera que dans son certificat du 7 avril 2015, le Dr J______ n’a pas nié la fiabilité de la méthode préconisée par le médecin d’arrondissement de la Suva. Celui-ci a toutefois affirmé que les radiographies du bassin permettaient également d’apprécier une différence de longueur de manière fiable, en l’absence de déformation de la cheville, du genou ou de la hanche. Cela démontre cependant que la fiabilité d’une image du bassin n’est pas absolue – au contraire d’un cliché des membres inférieurs – puisqu’elle est assortie d’une réserve. Les indications du Dr J______ tendent ainsi à corroborer les explications du Dr I______ sur les mérites respectifs des examens radiologiques des membres inférieurs et du bassin. De plus, bien que le Dr J______ ait précisé que le recourant ne présentait pas de déformation, on doit relever qu’il semble se fonder sur les seuls examens radiologiques du bassin, de sorte qu’on ignore comment il peut l’exclure de façon catégorique pour les chevilles ou les genoux. Le Dr J______ a en outre souligné que les clichés des jambes entières permettaient de déterminer l’origine du raccourcissement. Cela signifie donc a contrario qu’une radiographie du bassin, si elle est à même, sous les réserves mentionnées par le Dr J______, de mettre en évidence une différence de longueur globale, est moins précise que l’examen des membres inférieurs dans leur intégralité. En effet, elle ne permet pas d’isoler les éventuelles différentes origines de raccourcissement du membre inférieur pouvant contribuer à l’inégalité de longueur totale, alors que l’intimée ne répond en l’espèce que de la réduction imputable à l’accident, soit celle du fémur. De plus, si les deux méthodes sont fiables et qu’aucune déformation ne permet d’écarter les résultats de l’imagerie du bassin, il aurait été utile que le Dr J______ explique la différence de résultats. On soulignera qu’il ne semble pas imputer cette</w:t>
      </w:r>
    </w:p>
    <w:p>
      <w:r>
        <w:t>A/1352/2015 - 14/16 - divergence à la qualité des examens et des documents radiologiques à disposition, puisqu’il a précisé que de nouvelles radiographies étaient inutiles dans son attestation d’avril 2015. La chambre de céans relève de plus que l’évaluation du Dr I______ est quasiment identique à celle d’avril 2014 du Dr C______, qui, alors que cette question n’était pas litigieuse, avait fait état d’un raccourcissement d’environ 1.5 cm et exclu un dommage permanent. Ce médecin a certes mentionné par la suite une diminution de longueur de 2 cm. Cette nouvelle évaluation figure toutefois dans un certificat établi à la demande du recourant, qui entendait s’en prévaloir dans son opposition, et le Dr C______ n’expose pas pour quels motifs il s’écarte de sa première appréciation. Partant, on ne peut reconnaître de valeur probante à son certificat. Le recourant fait encore grief à l’intimée de s’être fondée sur l’appréciation du Dr I______, alors que ce médecin ne l’a pas examiné. C’est cependant le lieu de rappeler que selon la jurisprudence, une expertise médicale établie sur la base d'un dossier a valeur probante pour autant que celui-ci contienne suffisamment d'appréciations médicales qui, elles, se fondent sur un examen personnel de l'assuré (arrêt du Tribunal fédéral des assurances I 474/04 du 4 mai 2005 consid. 4.1). Au vu de l’aspect technique du point à élucider en l’espèce, il était inutile d’examiner personnellement le recourant. Eu égard à ce qui précède, la chambre de céans ne s’écartera pas de l’appréciation du Dr I______, selon laquelle le recourant présente un raccourcissement du membre inférieur droit de 1.4 cm. Le recourant a conclu à la mise en œuvre d’une expertise pour déterminer la différence de longueur de ses membres inférieurs.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2ème éd., Zurich 2009, n. 72 ad art. 61). En l’espèce, au vu du caractère probant des conclusions du Dr I______, une nouvelle expertise s’avère inutile. La requête du recourant sera ainsi rejetée.</w:t>
      </w:r>
    </w:p>
    <w:p>
      <w:r>
        <w:rPr>
          <w:b/>
        </w:rPr>
        <w:t>E. 10</w:t>
      </w:r>
    </w:p>
    <w:p>
      <w:r>
        <w:t>Par surabondance, on soulignera que même s’il fallait retenir un raccourcissement du membre inférieur de 2.2 cm, comme le suggère le Dr J______, une différence de longueur inférieure à 3 cm ne donne pas droit à une indemnisation. L’annexe 3 à l’OLAA précise certes que pour les atteintes à l'intégrité qui sont spéciales ou qui ne figurent pas dans la liste, il convient d’appliquer le barème par analogie, en tenant compte de la gravité de l'atteinte. Cependant, même s’il fallait admettre</w:t>
      </w:r>
    </w:p>
    <w:p>
      <w:r>
        <w:t>A/1352/2015 - 15/16 - qu’un raccourcissement inférieur à 3 cm mais supérieur à 2 cm peut donner droit à une indemnisation - bien que la table 2 ne la prévoie pas -, la comparaison des différents taux d’indemnisation fixés révèle qu’au-delà de 2 cm, chaque incrément de 2 cm donne droit à une indemnisation de 5 % au plus. Dans ces conditions, les 2 millimètres dépassant 2 cm donnent droit proportionnellement à une indemnité de moins de 5 %. Or, l’annexe 3 à l’OLAA dispose que les atteintes à l'intégrité pour lesquelles un taux inférieur à 5 % serait appliqué ne donnent droit à aucune indemnité. La décision de l’intimée doit ainsi être confirmée pour ce motif également.</w:t>
      </w:r>
    </w:p>
    <w:p>
      <w:r>
        <w:rPr>
          <w:b/>
        </w:rPr>
        <w:t>E. 11</w:t>
      </w:r>
    </w:p>
    <w:p>
      <w:r>
        <w:t>Mal fondé, le recours sera rejeté. Le recourant, qui succombe, n’a pas droit à des dépens. Pour le surplus, la procédure est gratuite (art. 61 let. a LPGA).</w:t>
      </w:r>
    </w:p>
    <w:p>
      <w:r>
        <w:t>A/1352/2015 - 16/16 -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