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ATAS/329/2020 vom 30. April 2020</w:t>
      </w:r>
    </w:p>
    <w:p>
      <w:r>
        <w:t>GE Cour de justice, 2020-04-30, FR</w:t>
      </w:r>
    </w:p>
    <w:p>
      <w:r>
        <w:rPr>
          <w:b/>
        </w:rPr>
        <w:t xml:space="preserve">Quelle: </w:t>
      </w:r>
      <w:r>
        <w:t>https://mcp.opencaselaw.ch/entscheid/ge_gerichte_ATAS_329_2020</w:t>
      </w:r>
    </w:p>
    <w:p>
      <w:r>
        <w:t>FR: GE_GERICHTE ATAS/329/2020 du 30 avril 2020</w:t>
      </w:r>
    </w:p>
    <w:p>
      <w:r>
        <w:t>IT: GE_GERICHTE ATAS/329/2020 del 30 aprile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A/3718/2019 - 6/9 -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délai et forme prescrits par la loi, le recours est recevable (art. 56 et 60 LPGA).</w:t>
      </w:r>
    </w:p>
    <w:p>
      <w:r>
        <w:rPr>
          <w:b/>
        </w:rPr>
        <w:t>E. 4</w:t>
      </w:r>
    </w:p>
    <w:p>
      <w:r>
        <w:t>Le litige porte sur le bien-fondé du refus de l’intimé d’accorder la remise de l’obligation de restituer à la recourante, plus particulièrement sur la question de la bonne foi de cette dernière.</w:t>
      </w:r>
    </w:p>
    <w:p>
      <w:r>
        <w:rPr>
          <w:b/>
        </w:rPr>
        <w:t>E. 5</w:t>
      </w:r>
    </w:p>
    <w:p>
      <w:r>
        <w:t>Aux termes de l’art. 25 LPGA, les prestations indûment touchées doivent être restituées. La restitution ne peut être exigée lorsque l'intéressé était de bonne foi et qu'elle le mettrait dans une situation difficile. Ces deux conditions matérielles sont cumulatives (art. 4 al. 1 de l’ordonnance sur la partie générale du droit des assurances sociales du 11 septembre 2002 [OPGA - RS 830.11]). Elles sont mises en œuvre par le biais d’une procédure spécifique, précisée par les art. 2 à 5 OPGA et par la jurisprudence.</w:t>
      </w:r>
    </w:p>
    <w:p>
      <w:r>
        <w:rPr>
          <w:b/>
        </w:rPr>
        <w:t>E. 6</w:t>
      </w:r>
    </w:p>
    <w:p>
      <w:r>
        <w:t>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w:t>
      </w:r>
    </w:p>
    <w:p>
      <w:r>
        <w:t>A/3718/2019 - 7/9 -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7</w:t>
      </w:r>
    </w:p>
    <w:p>
      <w:r>
        <w:t>En l’espèce, il est établi que l’attestation définitive communiquée par la recourante à la caisse comportait une erreur de date à l’origine du versement erroné. Il y a donc bel et bien eu faute de la recourante, dans la mesure où l’erreur commise dans le document transmis lui a échappé. Il convient à présent de qualifier la gravité de cette négligence. En effet, ainsi que cela a été rappelé supra, selon la jurisprudence, la bonne foi d'un assuré peut être reconnue en cas de négligence légère. La Cour de céans est d’avis que tel est le cas en l’occurrence. En effet, on relèvera que la recourante a à plusieurs reprises informé la caisse du fait que sa fille avait mis un terme à ses études à New York en décembre 2018 : dans son courriel du 3 janvier 2019, dans son courrier du 25 mars 2019, ainsi que dans son courriel du 21 mai 2019, auquel elle avait joint un document émanant du E______. La caisse avait donc été correctement renseignée à plusieurs reprises. On peut aussi admettre que la recourante, recevant après plusieurs mois d’attente l’attestation réclamée par la caisse, la parcourant rapidement, ait pu laisser échapper l’erreur de date, dans la mesure où elle s’attendait à ce que l’attestation corresponde à la réalité. De même, par la suite, il est établi que la recourante attendait sur son compte – en juillet 2019 - l’arrivée d’une somme similaire - à quelques centaines de francs près – à celle qui y a été versée par la caisse. Là encore, dans la mesure où les faits se sont déroulés en l’espace de quelques semaines – c’est-à-dire entre deux relevés bancaires mensuels -, l’erreur commise ne saurait être qualifiée de négligence grave.</w:t>
      </w:r>
    </w:p>
    <w:p>
      <w:r>
        <w:t>A/3718/2019 - 8/9 - Enfin, on notera que la recourante a rapidement avisé la caisse puisqu’elle a pris contact moins d’un mois après la décision litigieuse, dans les trois semaines suivant la notification et ce, en pleine période estivale. Quant à l’allégation selon laquelle la recourante aurait déclaré début août ne pas avoir dépensé l’entier de la somme reçue n’est pas établie. Eu égard à ces circonstances très particulières, la Cour de céans considère que la négligence commise peut être qualifiée de légère et, partant, la bonne foi de la recourante admise. Il se justifie dès lors de renvoyer la cause à l’intimé à charge pour lui d’examiner la question de la situation difficile et afin qu’il réexamine la situation en tenant compte de la détérioration invoquée par la recourante si celle-ci est avérée. En ce sens, le recours est partiellement admis. La procédure ne portant pas sur l’octroi ou le refus de prestations, il n’y a pas lieu de percevoir un émolument (art. 69 al. 1bis LAI et 61 let. a LPGA).</w:t>
      </w:r>
    </w:p>
    <w:p>
      <w:r>
        <w:t>A/3718/2019 - 9/9 -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