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ATAS/328/2020 vom 30. April 2020</w:t>
      </w:r>
    </w:p>
    <w:p>
      <w:r>
        <w:t>GE Cour de justice, 2020-04-30, FR</w:t>
      </w:r>
    </w:p>
    <w:p>
      <w:r>
        <w:rPr>
          <w:b/>
        </w:rPr>
        <w:t xml:space="preserve">Quelle: </w:t>
      </w:r>
      <w:r>
        <w:t>https://mcp.opencaselaw.ch/entscheid/ge_gerichte_ATAS_328_2020</w:t>
      </w:r>
    </w:p>
    <w:p>
      <w:r>
        <w:t>FR: GE_GERICHTE ATAS/328/2020 du 30 avril 2020</w:t>
      </w:r>
    </w:p>
    <w:p>
      <w:r>
        <w:t>IT: GE_GERICHTE ATAS/328/2020 del 30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requis par la loi, le recours est recevable.</w:t>
      </w:r>
    </w:p>
    <w:p>
      <w:r>
        <w:rPr>
          <w:b/>
        </w:rPr>
        <w:t>E. 3</w:t>
      </w:r>
    </w:p>
    <w:p>
      <w:r>
        <w:t>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(les deux premières faisant souvent l’objet d’une même décision) : la première porte sur le caractère indu des prestations, la seconde sur la restitution en tant que telle des prestations indûment</w:t>
      </w:r>
    </w:p>
    <w:p>
      <w:r>
        <w:t>A/3644/2019 - 5/8 - versées (comportant l’examen de la réalisation des conditions d’une révision ou d’une reconsidération, au sens de l’art. 53 al. 1 et 2 LPGA dans la mesure où les prestations fournies à tort l’ont été en exécution d’une décision en force), et,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 ATAS/587/2016 du 19 juillet 2016 consid. 3 ; ATAS/365/2016 du 10 mai 2016 consid. 7a ; Ueli KIESER, ATSG Kommentar, 3ème éd., 2015, n. 9 ad art. 25 LPGA, p. 383).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20'040.- a été fixée quant à son principe et à sa quotité par la décision du 18 décembre 2018 entrée en force. Dès lors, le litige se limite à la question du bien-fondé du refus de remise de l’obligation de restituer la somme dite.</w:t>
      </w:r>
    </w:p>
    <w:p>
      <w:r>
        <w:rPr>
          <w:b/>
        </w:rPr>
        <w:t>E. 4</w:t>
      </w:r>
    </w:p>
    <w:p>
      <w:r>
        <w:t>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w:t>
      </w:r>
    </w:p>
    <w:p>
      <w:r>
        <w:t>A/3644/2019 - 6/8 -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w:t>
      </w:r>
    </w:p>
    <w:p>
      <w:r>
        <w:rPr>
          <w:b/>
        </w:rPr>
        <w:t>E. 5</w:t>
      </w:r>
    </w:p>
    <w:p>
      <w:r>
        <w:t>En l’espèce, il est établi que c’est par erreur que l’intimé a pris en compte dans ses calculs le montant de la rente mensuelle allouée à la recourante sans l’annualiser. Certes, comme le soutient l’intimé, il appartient à chaque bénéficiaire de vérifier le calcul des prestations qui lui est soumis et de signaler toute erreur qui lui apparaitrait. Selon la jurisprudence, il convient alors en particulier d’examiner si, en faisant preuve de la vigilance exigible, l’intéressé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L’intimé considère que l’erreur qu’il a commise en l’espèce était si manifeste qu’elle ressortait d’un examen sommaire des plans de calculs. Il apparaît toutefois contradictoire de qualifier l’erreur de manifeste alors même que les gestionnaires de</w:t>
      </w:r>
    </w:p>
    <w:p>
      <w:r>
        <w:t>A/3644/2019 - 7/8 - l’intimé l’ont répétée trois années de suite et ce, alors même qu’on pouvait attendre d’eux un « examen sommaire » des plans de calculs chaque fois. Si l’erreur ne leur a alors pas sauté aux yeux, peut-on décemment reprocher à une jeune femme qu’elle la décèle au premier abord alors même que le montant indiqué correspondait bien à celui de la rente mensuelle qu’elle avait dûment annoncée ? C’est d’autant moins soutenable que le plan de calcul ne précise nulle part que le montant devrait correspondre à celui des revenus annuels. S’ajoute à cet élément le fait que la recourante a toujours fait preuve, depuis qu’elle bénéficie des prestations de l’intimé, d’assiduité en remplissant ses obligations d’information et d’annonce. Enfin, le trouble de l’attention dont elle est atteinte, s’il ne diminue en effet en rien sa capacité de discernement, est un élément qui vient s’ajouter à l’ensemble des circonstances, lesquelles conduisent la Cour de céans à considérer qu’en l’occurrence, seule une négligence légère peut être reprochée à la recourante dont la bonne foi ne saurait être mise en doute au vu de tous les éléments susmentionnés. Eu égard à ces circonstances très particulières, la bonne foi de la recourante est reconnue. Le recours est en ce sens partiellement admis et la cause renvoyée à l’intimé pour examen de la condition relative à la situation financière difficile et nouvelle décision. La procédure est gratuite (art. 61 let. a LPGA).</w:t>
      </w:r>
    </w:p>
    <w:p>
      <w:r>
        <w:t>A/3644/2019 - 8/8 -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