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ATAS/328/2018 vom 17. April 2018</w:t>
      </w:r>
    </w:p>
    <w:p>
      <w:r>
        <w:t>GE Cour de justice, 2018-04-17, FR</w:t>
      </w:r>
    </w:p>
    <w:p>
      <w:r>
        <w:rPr>
          <w:b/>
        </w:rPr>
        <w:t xml:space="preserve">Quelle: </w:t>
      </w:r>
      <w:r>
        <w:t>https://mcp.opencaselaw.ch/entscheid/ge_gerichte_ATAS_328_2018</w:t>
      </w:r>
    </w:p>
    <w:p>
      <w:r>
        <w:t>FR: GE_GERICHTE ATAS/328/2018 du 17 avril 2018</w:t>
      </w:r>
    </w:p>
    <w:p>
      <w:r>
        <w:t>IT: GE_GERICHTE ATAS/328/2018 del 17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2</w:t>
      </w:r>
    </w:p>
    <w:p>
      <w:r>
        <w:t>Interjeté dans les formes et délai prévus par la loi, le présent recours est recevable (art. 56 à 61 LPGA et 38 al. 3 LPGA).</w:t>
      </w:r>
    </w:p>
    <w:p>
      <w:r>
        <w:rPr>
          <w:b/>
        </w:rPr>
        <w:t>E. 3</w:t>
      </w:r>
    </w:p>
    <w:p>
      <w:r>
        <w:t>Dans sa réponse du 26 mars 2018, l’OAI a conclu au renvoi du dossier pour instruction complémentaire. L’assuré obtient ainsi satisfaction.</w:t>
      </w:r>
    </w:p>
    <w:p>
      <w:r>
        <w:rPr>
          <w:b/>
        </w:rPr>
        <w:t>E. 4</w:t>
      </w:r>
    </w:p>
    <w:p>
      <w:r>
        <w:t>Il convient d’en prendre dès lors acte, d'admettre le recours, d'annuler la décision litigieuse et de renvoyer la cause à l’OAI pour instruction complémentaire et nouvelle décision.</w:t>
      </w:r>
    </w:p>
    <w:p>
      <w:r>
        <w:t>A/477/2018 - 3/3 -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