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ATAS/328/2014 vom 24. März 2014</w:t>
      </w:r>
    </w:p>
    <w:p>
      <w:r>
        <w:t>GE Cour de justice, 2014-03-24, FR</w:t>
      </w:r>
    </w:p>
    <w:p>
      <w:r>
        <w:rPr>
          <w:b/>
        </w:rPr>
        <w:t xml:space="preserve">Quelle: </w:t>
      </w:r>
      <w:r>
        <w:t>https://mcp.opencaselaw.ch/entscheid/ge_gerichte_ATAS_328_2014</w:t>
      </w:r>
    </w:p>
    <w:p>
      <w:r>
        <w:t>FR: GE_GERICHTE ATAS/328/2014 du 24 mars 2014</w:t>
      </w:r>
    </w:p>
    <w:p>
      <w:r>
        <w:t>IT: GE_GERICHTE ATAS/328/2014 del 24 marzo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A fortiori la suspension est-elle possible lorsque deux causes sont pendantes devant la même juridiction.</w:t>
      </w:r>
    </w:p>
    <w:p>
      <w:r>
        <w:rPr>
          <w:b/>
        </w:rPr>
        <w:t>E. 3</w:t>
      </w:r>
    </w:p>
    <w:p>
      <w:r>
        <w:t>En l’espèce, le sort de la présente cause va dépendre notamment de l’issue de la cause A/200/2014 relative à la décision de restitution ;</w:t>
      </w:r>
    </w:p>
    <w:p>
      <w:r>
        <w:t>A/686/2014 - 3/3 -</w:t>
      </w:r>
    </w:p>
    <w:p>
      <w:r>
        <w:rPr>
          <w:b/>
        </w:rPr>
        <w:t>E. 4</w:t>
      </w:r>
    </w:p>
    <w:p>
      <w:r>
        <w:t>Il convient dès lors de suspendre la présente cause jusqu’à droit connu dans la procédure opposant la recourante au SPC (A/200/2014).</w:t>
      </w:r>
    </w:p>
    <w:p>
      <w:r>
        <w:t>*****</w:t>
      </w:r>
    </w:p>
    <w:p>
      <w:r>
        <w:t>PAR CES MOTIFS, LA CHAMBRE DES ASSURANCES SOCIALES : Statuant sur incident 1. Suspend l'instance en application de l’art. 14 LPA, jusqu’à droit connu dans la procédure A/200/2014.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Francine PAYOT ZEN- 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