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ATAS/327/2020 vom 30. April 2020</w:t>
      </w:r>
    </w:p>
    <w:p>
      <w:r>
        <w:t>GE Cour de justice, 2020-04-30, FR</w:t>
      </w:r>
    </w:p>
    <w:p>
      <w:r>
        <w:rPr>
          <w:b/>
        </w:rPr>
        <w:t xml:space="preserve">Quelle: </w:t>
      </w:r>
      <w:r>
        <w:t>https://mcp.opencaselaw.ch/entscheid/ge_gerichte_ATAS_327_2020</w:t>
      </w:r>
    </w:p>
    <w:p>
      <w:r>
        <w:t>FR: GE_GERICHTE ATAS/327/2020 du 30 avril 2020</w:t>
      </w:r>
    </w:p>
    <w:p>
      <w:r>
        <w:t>IT: GE_GERICHTE ATAS/327/2020 del 30 aprile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A/3392/2019 - 5/9 -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56ss LPGA et 62ss LPA).</w:t>
      </w:r>
    </w:p>
    <w:p>
      <w:r>
        <w:rPr>
          <w:b/>
        </w:rPr>
        <w:t>E. 4</w:t>
      </w:r>
    </w:p>
    <w:p>
      <w:r>
        <w:t>Le litige porte sur le bien-fondé de la décision de l’intimé de nier à l’assuré le droit à toute prestation, en particulier aux mesures professionnelles. En effet, le recourant ne prétend pas l’octroi d’une rente.</w:t>
      </w:r>
    </w:p>
    <w:p>
      <w:r>
        <w:rPr>
          <w:b/>
        </w:rPr>
        <w:t>E. 5</w:t>
      </w:r>
    </w:p>
    <w:p>
      <w:r>
        <w:t>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w:t>
      </w:r>
    </w:p>
    <w:p>
      <w:r>
        <w:rPr>
          <w:b/>
        </w:rPr>
        <w:t>E. 6</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A/3392/2019 - 8/9 - description des interférences médicales soit claire et enfin que les conclusions de l'expert soient bien motivées (ATF 134 V 231 consid. 5.1 ; ATF 133 V 450 consid. 11.1.3 ; ATF 125 V 351 consid. 3).</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10</w:t>
      </w:r>
    </w:p>
    <w:p>
      <w:r>
        <w:t>En l’espèce, force est de constater qu’aucun élément médical ne vient plaider pour une incapacité de travail, fusse-t-elle limitée à 20% comme le soutient le recourant. Le fait de devoir consulter régulièrement pour son diabète n’influence pas la capacité de travail. Par ailleurs, aucune absence régulière n’a été signalée par son diabétologue. Les conditions d’octroi de mesures professionnelles ne sont par conséquent pas remplies. Elles le sont d’autant moins qu’il est apparu lors de son audition que le recourant s’est formé par lui-même, qu’il a brillamment réussi deux certificats et que son état de santé n’entrave pas ses démarches de recherches d’emploi. Dans ces circonstances, l’intervention de l’assurance-invalidité n’apparaît aucunement nécessaire. Eu égard aux considérations qui précèdent, le recours est rejeté.</w:t>
      </w:r>
    </w:p>
    <w:p>
      <w:r>
        <w:t>A/3392/2019 - 9/9 -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