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ATAS/327/2019 vom 17. April 2019</w:t>
      </w:r>
    </w:p>
    <w:p>
      <w:r>
        <w:t>GE Cour de justice, 2019-04-17, FR</w:t>
      </w:r>
    </w:p>
    <w:p>
      <w:r>
        <w:rPr>
          <w:b/>
        </w:rPr>
        <w:t xml:space="preserve">Quelle: </w:t>
      </w:r>
      <w:r>
        <w:t>https://mcp.opencaselaw.ch/entscheid/ge_gerichte_ATAS_327_2019</w:t>
      </w:r>
    </w:p>
    <w:p>
      <w:r>
        <w:t>FR: GE_GERICHTE ATAS/327/2019 du 17 avril 2019</w:t>
      </w:r>
    </w:p>
    <w:p>
      <w:r>
        <w:t>IT: GE_GERICHTE ATAS/327/2019 del 17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rente d'invalidité entière dès le 1er septembre 2013 et au-delà du 31 décembre 2013.</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A/1934/2018 - 11/19 -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w:t>
      </w:r>
    </w:p>
    <w:p>
      <w:r>
        <w:t>A/1934/2018 - 12/19 -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en la matière les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w:t>
      </w:r>
    </w:p>
    <w:p>
      <w:r>
        <w:t>A/1934/2018 - 13/19 -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t>A/1934/2018 - 14/19 -</w:t>
      </w:r>
    </w:p>
    <w:p>
      <w:r>
        <w:rPr>
          <w:b/>
        </w:rPr>
        <w:t>E. 7</w:t>
      </w:r>
    </w:p>
    <w:p>
      <w:r>
        <w:t>Le juge vérifie librement si l’expert médical a exclusivement tenu compte des déficits fonctionnels résultant de l’atteinte à la santé et si son évaluation de l’exigibilité repose sur une base objective.</w:t>
      </w:r>
    </w:p>
    <w:p>
      <w:r>
        <w:rPr>
          <w:b/>
        </w:rPr>
        <w:t>E. 8</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peut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w:t>
      </w:r>
    </w:p>
    <w:p>
      <w:r>
        <w:t>A/1934/2018 - 15/19 -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w:t>
      </w:r>
    </w:p>
    <w:p>
      <w:r>
        <w:t>A/1934/2018 - 16/19 -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il convient de déterminer en premier lieu la force probatoire de l'expertise du 2 septembre 2017. Elle repose sur deux entretiens avec l'expertisée d'une durée de 150 minutes, un entretien avec son médecin traitant de 5 minutes et un entretien avec la fille de l'expertisée de 10 minutes ainsi que sur l'étude du dossier. Le rapport contient une anamnèse familiale, personnelle et professionnelle détaillée et un résumé du dossier médical de l'expertisée. L'expert a justifié les diagnostics posés et son analyse détaillée du cas reprend les indicateurs développés par le Tribunal fédéral pour déterminer si l'atteinte psychique en cause est invalidante. S'agissant du traitement, il a relevé que l'expertisée présentait un très bon investissement au niveau de son suivi médical, mais qu'elle devrait suivre un traitement psychiatrique avec introduction d'un traitement antidépresseur. Il a retenu que sa coopération était bonne en ce qui concernait les efforts de réadaptation, mais que sa dépendance affective et la faiblesse de ses aptitudes adaptatives expliquaient l'échec des mesures de réadaptation. Il a procédé à une approche globale de l’influence du trouble psychique avec l’ensemble des pathologies concomitantes et tenu compte de la personnalité de l’assurée, de son contexte de vie et de son réseau social. Il a examiné si l’atteinte à la santé limitait l’assurée de manière semblable dans son activité professionnelle ou dans l’exécution de ses travaux habituels et dans les autres activités et examiné la situation sous l'angle de la cohérence. La recourante estime que l'expert aurait dû retenir le diagnostic d’état de stress post traumatique, comme l'a fait son médecin traitant. Ce grief doit être écarté, dès lors que l'expert a exposé les raisons pour lesquelles il estimait que ce diagnostic ne devait pas être retenu, précisant qu'il n'y avait, en particulier, pas d'éléments cliniques soutenant sa présence, tels que des réminiscences traumatiques, des cauchemars à répétition, une irritabilité avec réaction d’hypervigilance ou un rétrécissement du champ cognitif. Il a relevé que l’assurée avait parfois des cauchemars autour des abus qu’elle avait subis, mais sans fixité quelconque de vécu traumatique et que la présence des expériences difficiles dans le passé de l'expertisée ne suffisait pas pour retenir un tel diagnostic. Contrairement à ce qu'a allégué la recourante, l'expert a pris en compte les actes de violences répétés qu’elle avait subi dans son enfance, qu’il a décrits dans l'anamnèse relative au contexte social. L’appréciation médicale du médecin traitant sur un diagnostic relevant de la psychiatrie n’est de plus pas convaincante, dès lors que celui-ci n’est pas spécialisé dans ce domaine.</w:t>
      </w:r>
    </w:p>
    <w:p>
      <w:r>
        <w:t>A/1934/2018 - 17/19 - Le rapport d'expertise n'est pas sérieusement remis en cause par les critiques apportées par les médecins du SMR le 4 décembre 2017, lesquels considèrent que les diagnostics retenus par l'expert n'étaient pas invalidants, car cet avis ne remplit pas les réquisits pour se voir reconnaître pleine valeur probante. Il est en effet peu détaillé, ne contient pas d'anamnèse et n'est pas fondé sur un entretien avec l'expertisée, notamment. Il ne tient pas compte du fait que certaines atteintes psychiatriques d’une importance relative, comme la dysthymie, peuvent dans certaines circonstances avoir une incidence sur la capacité de travail. En l’occurrence, l’expert a motivé les raisons pour lesquelles il a retenu une pleine incapacité de travail en analysant les indicateurs développés par le Tribunal fédéral pour déterminer si une atteinte psychique est invalidante. Il a en particulier indiqué qu’à partir de l’accident de l’assurée et de l’arrêt de son activité professionnelle, il y avait eu, en sus des séquelles somatiques importantes, une péjoration progressive de son état psychique, en lien avec ses faibles capacités de résilience, qui avait rendu sa capacité d’activité de plus en plus faible. Ainsi la problématique psychique avait eu, selon l’expert, un impact important sur le niveau d’activité de la recourante. Il a encore relevé que les difficultés rencontrées dans la réadaptation dépendaient du tableau clinique de l’expertisée et qu’elle n’avait pas pu mener à terme les différents stages de façon optimale, en raison de sa faible capacité de résilience et de son instabilité au niveau de l’humeur, qui ne lui permettaient pas d’avoir une performance satisfaisante. Contrairement à ce que soutient l’intimé, l’expert a expliqué de façon convaincante la dégradation tardive de l’état psychique de la recourante, en indiquant qu’elle avait développé des troubles dépressifs et anxieux mixtes après son accident de 2012, lesquels étaient restés jusqu'alors à un niveau sous-syndromique, et que la recourante avait eu de la difficulté à rebondir en raison de ses faibles capacités de résilience et du fait que sa souffrance était exprimée principalement au travers du corps. Le fait que la recourante n’ait pas été suivie par un psychiatre ne permet pas de conclure à l’absence d’atteinte psychique, dès lors qu’il ressort de l’expertise que la recourante était pleinement investie dans le traitement médical et médicamenteux dispensé par son médecin traitant qu’elle pensait suffisant et qu’il est établi que ce suivi régulier la sécurisait et la stabilisait psychiquement. La recourante a également bien collaboré pendant les mesures de réadaptation en ayant un rôle actif et en participant aux différents stages et les difficultés rencontrées dans ce cadre ont été liées à son tableau clinique. Le comportement de la recourante n’apparaît dès lors pas incohérent du point de vue du traitement, même si un suivi psychiatrique spécialisé apparaît nécessaire. Au vu des considérations qui précèdent, le rapport d'expertise apparaît convaincant et doit se voir reconnaître pleine valeur probante.</w:t>
      </w:r>
    </w:p>
    <w:p>
      <w:r>
        <w:rPr>
          <w:b/>
        </w:rPr>
        <w:t>E. 11</w:t>
      </w:r>
    </w:p>
    <w:p>
      <w:r>
        <w:t>Il convient ainsi de retenir sur cette base que la recourante était totalement incapable de travailler du 1er septembre 2013 et au-delà du 31 décembre 2013, à</w:t>
      </w:r>
    </w:p>
    <w:p>
      <w:r>
        <w:t>A/1934/2018 - 18/19 - tout le moins jusqu’à qu’à la décision querellée. Cette décision doit en conséquence être réformée, en ce sens que le droit de la recourante à une rente entière d’invalidité dès le 1er septembre 2013 ne s’est pas éteint au 31 décembre 2013 et qu’il a perduré, à tout le moins jusqu’à la décision querellée. L’intimé devra procéder à une nouvelle instruction pour déterminer si la recourante a retrouvé depuis lors une capacité de travail et, cas échéant, dans quelle mesure.</w:t>
      </w:r>
    </w:p>
    <w:p>
      <w:r>
        <w:rPr>
          <w:b/>
        </w:rPr>
        <w:t>E. 12</w:t>
      </w:r>
    </w:p>
    <w:p>
      <w:r>
        <w:t>La recourante obtenant gain de cause, elle a droit à des dépens qui seront fixés à CHF 2'500.- (art. 61 let. g LPGA). Un émolument de CHF 500.- sera mis à la charge de l'intimé (art. 69 al. 1bis LAI).</w:t>
      </w:r>
    </w:p>
    <w:p>
      <w:r>
        <w:t>A/1934/2018 - 19/19 -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