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ATAS/327/2013 vom 9. April 2013</w:t>
      </w:r>
    </w:p>
    <w:p>
      <w:r>
        <w:t>GE Cour de justice, 2013-04-09, FR</w:t>
      </w:r>
    </w:p>
    <w:p>
      <w:r>
        <w:rPr>
          <w:b/>
        </w:rPr>
        <w:t xml:space="preserve">Quelle: </w:t>
      </w:r>
      <w:r>
        <w:t>https://mcp.opencaselaw.ch/entscheid/ge_gerichte_ATAS_327_2013</w:t>
      </w:r>
    </w:p>
    <w:p>
      <w:r>
        <w:t>FR: GE_GERICHTE ATAS/327/2013 du 9 avril 2013</w:t>
      </w:r>
    </w:p>
    <w:p>
      <w:r>
        <w:t>IT: GE_GERICHTE ATAS/327/2013 del 9 aprile 2013</w:t>
      </w:r>
    </w:p>
    <w:p>
      <w:pPr>
        <w:pStyle w:val="Heading2"/>
      </w:pPr>
      <w:r>
        <w:t>Erwägungen</w:t>
      </w:r>
    </w:p>
    <w:p>
      <w:r>
        <w:rPr>
          <w:b/>
        </w:rPr>
        <w:t>E. 10</w:t>
      </w:r>
    </w:p>
    <w:p>
      <w:r>
        <w:t>Il convient à ce stade de rappeler qu'il n'appartient pas aux assurés de décider quelles sont les informations pertinentes dont ils doivent informer l'administration. Peu importe qu'en réalité, les faits jouent effectivement un rôle dans le calcul des prestations (ATF 123 V 151).</w:t>
      </w:r>
    </w:p>
    <w:p>
      <w:r>
        <w:rPr>
          <w:b/>
        </w:rPr>
        <w:t>E. 11</w:t>
      </w:r>
    </w:p>
    <w:p>
      <w:r>
        <w:t>Il n’est pas contestable que l’obligation de renseigner a été signalée en bonne et due forme à l'intéressée dans le formulaire de demande de prestations puis expressément rappelée à intervalles réguliers. Elle ne pouvait donc ignorer les devoirs qui lui incombait à ce titre et, à ce titre, une négligence peut lui être reprochée.</w:t>
      </w:r>
    </w:p>
    <w:p>
      <w:r>
        <w:t>A/439/2013 - 7/8 -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 rente française devait ou non apparaître évidente à l'intéressée. Tel est le cas, manifestement. A cet égard, l’argument selon lequel elle avait déclaré ces rentes au fisc ne saurait être retenu car jamais le SPC n’a affirmé avoir accès aux déclarations fiscales et l'intéressée n'en avait transmis aucune copie au SPC. Il suit de tout ce qui précède que l'intéressée ne peut exciper, dans le cas d’espèce, de sa bonne foi. Partant, il est superfétatoire d’examiner si la condition de la charge trop lourde est réalisée. En conséquence, le recours est rejeté.</w:t>
      </w:r>
    </w:p>
    <w:p>
      <w:r>
        <w:t>A/439/2013 - 8/8 -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