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ATAS/327/2010 vom 30. März 2010</w:t>
      </w:r>
    </w:p>
    <w:p>
      <w:r>
        <w:t>GE Cour de justice, 2010-03-30, FR</w:t>
      </w:r>
    </w:p>
    <w:p>
      <w:r>
        <w:rPr>
          <w:b/>
        </w:rPr>
        <w:t xml:space="preserve">Quelle: </w:t>
      </w:r>
      <w:r>
        <w:t>https://mcp.opencaselaw.ch/entscheid/ge_gerichte_ATAS_327_2010</w:t>
      </w:r>
    </w:p>
    <w:p>
      <w:r>
        <w:t>FR: GE_GERICHTE ATAS/327/2010 du 30 mars 2010</w:t>
      </w:r>
    </w:p>
    <w:p>
      <w:r>
        <w:t>IT: GE_GERICHTE ATAS/327/2010 del 30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demande de prestation a été formée le 13 mars 2008 et la décision litigieuse date du 27 janvier 2009. Par conséquent, d’un point de vue matériel, le droit éventuel à une rente d’invalidité doit être examiné au regard des nouvelles normes de la LPGA et des modifications de la LAI consécutives à la 4ème révision de cette loi, entrées en vigueur le 1er janvier 2004 et des modifications de la LAI consécutives à la 5ème révision entrées en vigueur le 1er janvier 2008, dans la mesure</w:t>
      </w:r>
    </w:p>
    <w:p>
      <w:r>
        <w:t>A/723/2009 - 14/20 - de leur pertinence (ATF 130 V 445 et les références, voir également ATF 130 V 329).</w:t>
      </w:r>
    </w:p>
    <w:p>
      <w:r>
        <w:rPr>
          <w:b/>
        </w:rPr>
        <w:t>E. 3</w:t>
      </w:r>
    </w:p>
    <w:p>
      <w:r>
        <w:t>Déposé dans les forme et délai prévus par la loi, le présent recours est recevable (art. 56 à 61 LPGA).</w:t>
      </w:r>
    </w:p>
    <w:p>
      <w:r>
        <w:rPr>
          <w:b/>
        </w:rPr>
        <w:t>E. 4</w:t>
      </w:r>
    </w:p>
    <w:p>
      <w:r>
        <w:t>Est en l'espèce litigieuse la question de déterminer l'invalidité du recourant et plus particulièrement, de se prononcer sur la valeur probante de l'expertise judiciaire effectuée.</w:t>
      </w:r>
    </w:p>
    <w:p>
      <w:r>
        <w:rPr>
          <w:b/>
        </w:rPr>
        <w:t>E. 5</w:t>
      </w:r>
    </w:p>
    <w:p>
      <w:r>
        <w:t>a)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précise que seules les conséquences de l’atteinte à la santé sont prises en compte pour juger de la présence d’une incapacité de gain. De plus, il n’y a incapacité de gain que si celle-ci n’est pas objectivement surmontable. b) Selon l’art. 8 al. 1er LPGA, est réputée invalidité l’incapacité de gain totale ou partielle qui est présumée permanente ou de longue durée. Selon l’art. 4 al. 1er LAI, l’invalidité peut résulter d’une infirmité congénitale, d’une maladie ou d’un accident. c)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d) Le Tribunal fédéral des assurances a, dans un arrêt du 5 octobre 2001 (ATF 127 V 294), précisé sa jurisprudence relative aux atteintes à la santé</w:t>
      </w:r>
    </w:p>
    <w:p>
      <w:r>
        <w:t>A/723/2009 - 15/20 -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w:t>
      </w:r>
    </w:p>
    <w:p>
      <w:r>
        <w:rPr>
          <w:b/>
        </w:rPr>
        <w:t>E. 6</w:t>
      </w:r>
    </w:p>
    <w:p>
      <w:r>
        <w:t>a)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t>A/723/2009 - 16/20 -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Toutefois, le fait d'avoir suivi le patient sur une certaine durée, ce d'autant plus en matière psychiatrique, donne une force particulière aux rapports des médecins traitants, lesquels doivent donc être examinés attentivement. d) Le juge peut également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e) Toutefois, les rapports médicaux des médecins internes à un assureur social ne peuvent en aucun cas être considérés comme des expertises au sens de l'article 44 LPGA et n'ont pas la même valeur probante. Ainsi, lorsqu'il existe le moindre doute au regard des éléments médicaux produits par l'assuré, d'une part, et ceux du médecin interne de l'assureur, d'autre part, le juge doit ordonner une expertise ou renvoyer la cause à l'administration pour le faire (Arrêt du Tribunal Fédéral du 28 octobre 2009, 8C-216/2009). f)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Il n’est pas nécessaire que le diagnostic posé par l’expert soit émaillé de références à la doctrine médicale. On attend bien plutôt de l’expert un diagnostic précis et formulé selon les règles de la science médicale. S’il ne s’agit que d’une suspicion ou d’un diagnostic possible, l’expert doit le signaler explicitement (ATFA non publié du 12 septembres 2005, I 435/05 consid. 2 ; voir à ce sujet MEINE, L’expert et l’expertise – critères de validité de l’expertise médicale, in L’expertise médicale, édition Médecine et Hygiène, 2002, p. 21). d) Selon le Tribunal Fédéral, peut constituer une raison de s’écarter d’une expertise judiciaire le fait que celle-ci contient des contradictions, ou qu’une sur-expertise</w:t>
      </w:r>
    </w:p>
    <w:p>
      <w:r>
        <w:t>A/723/2009 - 17/20 -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janvier 2007, sans modification, de sorte qu'il a droit à une rente entière d'invalidité depuis le 1er janvier 2008, soit à l'issue du délai de carence d'un an de l'article 28 alinéa 1 lettre a LAI. De plus, le Tribunal ordonnera à l'OAI l'organisation d'un stage d'observation de l'assuré, en milieu protégé. À l'issue de cette observation, et après un nouvel examen psychiatrique, il conviendra d'examiner si l'assuré conserve une capacité résiduelle de travail, soit en milieu protégé, soit dans des conditions d'emploi ordinaires, mais objectivement et concrètement existantes sur le marché du travail, il conviendra alors d'entreprendre une réorientation. C'est à l'issue de cette dernière seulement, et si toutes les conditions légales sont réunies, que l'OAI pourra envisager la réduction ou la suppression de la rente. En l'état toutefois, le pronostic est sombre et on ne peut encore considérer que l'observation en milieu protégé donnera un autre résultat que la possibilité pour l'assuré de s'occuper dans ce cadre limité.</w:t>
      </w:r>
    </w:p>
    <w:p>
      <w:r>
        <w:rPr>
          <w:b/>
        </w:rPr>
        <w:t>E. 8</w:t>
      </w:r>
    </w:p>
    <w:p>
      <w:r>
        <w:t>Le recours est donc admis, la décision du 27 janvier 2009 est annulée et la cause est renvoyée à l'OAI pour l'octroi d'une rente entière d'invalidité dès le 1er janvier 2008. Un émolument de 500 fr. est mis à charge de l'OAI. Le recourant, qui obtient gain de cause, obtient le paiement d'une indemnité de procédure de 2500 fr., qui tient compte du nombre et de la complexité des écritures, des audiences et des autres actes d'instruction.</w:t>
      </w:r>
    </w:p>
    <w:p>
      <w:r>
        <w:t>A/723/2009 - 20/20 -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