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ATAS/326/2026 vom 2. April 2026</w:t>
      </w:r>
    </w:p>
    <w:p>
      <w:r>
        <w:t>GE Cour de justice, 2026-04-02, FR</w:t>
      </w:r>
    </w:p>
    <w:p>
      <w:r>
        <w:rPr>
          <w:b/>
        </w:rPr>
        <w:t xml:space="preserve">Quelle: </w:t>
      </w:r>
      <w:r>
        <w:t>https://mcp.opencaselaw.ch/entscheid/ge_gerichte_ATAS_326_2026</w:t>
      </w:r>
    </w:p>
    <w:p>
      <w:r>
        <w:t>FR: GE_GERICHTE ATAS/326/2026 du 2 avril 2026</w:t>
      </w:r>
    </w:p>
    <w:p>
      <w:r>
        <w:t>IT: GE_GERICHTE ATAS/326/2026 del 2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le délai prévu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w:t>
      </w:r>
    </w:p>
    <w:p>
      <w:r>
        <w:t>A/2260/2025 - 11/17 -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en avril 2024, soit six mois après le dépôt de la demande d’octobre 2023 (cf. art. 29 al. 1 LAI), de sorte que les dispositions légales applicables seront citées dans leur nouvelle teneur.</w:t>
      </w:r>
    </w:p>
    <w:p>
      <w:r>
        <w:rPr>
          <w:b/>
        </w:rPr>
        <w:t>E. 3</w:t>
      </w:r>
    </w:p>
    <w:p>
      <w:r>
        <w:t>Le litige porte sur le droit de la recourante à d’éventuelles prestations de l’assurance-invalidité, plus particulièrement sur la question de savoir si, depuis la dernière décision du 30 novembre 2021, son état de santé s’est aggravé au point de lui ouvrir droit à des prestations.</w:t>
      </w:r>
    </w:p>
    <w:p>
      <w:r>
        <w:rPr>
          <w:b/>
        </w:rPr>
        <w:t>E. 4.1</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t>A/2260/2025 - 12/17 -</w:t>
      </w:r>
    </w:p>
    <w:p>
      <w:r>
        <w:rPr>
          <w:b/>
        </w:rPr>
        <w:t>E. 4.4</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4.6</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rPr>
          <w:b/>
        </w:rPr>
        <w:t>E. 4.7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4.8</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4.8.1</w:t>
      </w:r>
    </w:p>
    <w:p>
      <w:r>
        <w:t>Un rapport du SMR a pour fonction d'opérer la synthèse des renseignements médicaux versés au dossier, de prendre position à leur sujet et de prodiguer des</w:t>
      </w:r>
    </w:p>
    <w:p>
      <w:r>
        <w:t>A/2260/2025 - 13/17 -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4.8.2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4.8.3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4.8.4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A/2260/2025 - 14/17 -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4.8.5</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4.8.6</w:t>
      </w:r>
    </w:p>
    <w:p>
      <w:r>
        <w:t>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w:t>
      </w:r>
    </w:p>
    <w:p>
      <w:r>
        <w:t>A/2260/2025 - 15/17 -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4.9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 En l’espèce, la décision litigieuse repose sur l’avis du SMR qui, après examen des différents rapports et de l’expertise recueillis lors de l’instruction de la nouvelle demande, a conclu à l’absence d’aggravation de l’état de santé de l’assurée, la capacité de travail demeurant inchangée. La recourante, elle, affirme se sentir fragilisée, épuisée psychiquement et physiquement et reproche aux experts d’avoir sous-estimé l’impact des atteintes à sa santé sur sa capacité de travail. Elle invoque à l’appui de ses dires les observations faites lors d’un stage de retour en emploi mis en place par l’assurance-chômage. Cela étant, sur le plan médical, il apparaît qu’objectivement, aucune nouvelle atteinte n’est apparue depuis novembre 2021. Le syndrome de Treacher Collins évoqué par le Dr G______ n’est autre que celui de Franchescetti-Klein, connu de longue date. Le psychiatre conteste que sa patiente soit apte à travailler à 100% – ce qui n’a jamais été prétendu par l’OAI –, mais ne se prononce pas sur sa capacité résiduelle de travail. Quant au Dr B______, il se fait l’écho de la fatigue dont se plaint sa patiente, qu’il impute avant tout à sa situation familiale. Lors de l’examen de la seconde demande de prestations déjà, les experts avaient souligné le caractère subjectif de la fatigue dont se plaignait l’intéressée.</w:t>
      </w:r>
    </w:p>
    <w:p>
      <w:r>
        <w:t>A/2260/2025 - 16/17 - Les experts du BEM, à leur tour, ont souligné que ladite fatigue ne trouvait aucune explication organique. Sur le plan somatique, l'expert a décrit une situation comparable à la précédente expertise de 2021. L'examen clinique n’a montré aucune aggravation neurologique. Par ailleurs, il a été constaté que l'épilepsie était bien stabilisée par le traitement actuel, ce qu’a d’ailleurs confirmé la recourante elle-même. L'anamnèse et la journée type décrite montrent un quotidien préservé et un large éventail d'activités réalisées par l'assurée, qui s'occupe de ses quatre enfants, du ménage et de l'administratif, maintient une vie sociale avec un fonctionnement familial rapporté comme soutenant et harmonieux. L'expert a dès lors considéré que l'évaluation de la capacité de travail était comparable à ce qu’elle était lors des évaluations précédentes. Sur le plan psychiatrique, l'expert a également décrit un quotidien et des centres d'intérêts préservés. L'examen clinique psychiatrique, ainsi que l'anamnèse psychiatrique guidée n’ont montré ni trouble, ni plainte psychiatrique conséquente, la situation demeure inchangée, avec quelques difficultés cognitives présentes depuis 2005, dues à l'atteinte somatique. Le psychiatre a décrit une assurée au fonctionnement rigide, qui peut avoir du mal à s'adapter face aux situations nouvelles, sans que cela n’atteigne toutefois une gravité suffisante. Il a expliqué que les plaintes sont évasives, que l’assurée décrit une faiblesse d'allure familiale, favorisée par son syndrome, mais que ces éléments ne s'accompagnent pas de détresse, ni de remise en question des conclusions rassurantes des médecins. Il n'y a pas de plaintes somatiques envahissantes. Par ailleurs, l’assurée ne présente pas de trouble anxieux et dépressif mixte et ne se plaint pas de tristesse ; quant aux éléments anxieux, ils sont quasiment inexistants. Sur le plan psychiatrique, une pleine capacité de travail a donc été retenue depuis toujours. La Cour de céans ne constate aucun manquement concret dans l'expertise réalisée. Les troubles et atteintes évoqués pour justifier une baisse de rendement existent de longue date et n'ont pas empêché l'assurée d'exercer une activité lucrative durable. Dès lors, au vu de ce qui précède, c’est à juste titre que l’intimé s’est rallié aux conclusions de l’expertise et du SMR et a considéré qu’il n’y avait pas eu aggravation de l’état de santé de la recourante depuis la dernière décision s’étant prononcée sur le fond, en novembre 2021. Le recours, infondé, est rejeté.</w:t>
      </w:r>
    </w:p>
    <w:p>
      <w:r>
        <w:t>A/2260/2025 - 17/17 -</w:t>
      </w:r>
    </w:p>
    <w:p>
      <w:r>
        <w:t>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