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ATAS/326/2024 vom 8. Mai 2024</w:t>
      </w:r>
    </w:p>
    <w:p>
      <w:r>
        <w:t>GE Cour de justice, 2024-05-08, FR</w:t>
      </w:r>
    </w:p>
    <w:p>
      <w:r>
        <w:rPr>
          <w:b/>
        </w:rPr>
        <w:t xml:space="preserve">Quelle: </w:t>
      </w:r>
      <w:r>
        <w:t>https://mcp.opencaselaw.ch/entscheid/ge_gerichte_ATAS_326_2024</w:t>
      </w:r>
    </w:p>
    <w:p>
      <w:r>
        <w:t>FR: GE_GERICHTE ATAS/326/2024 du 8 mai 2024</w:t>
      </w:r>
    </w:p>
    <w:p>
      <w:r>
        <w:t>IT: GE_GERICHTE ATAS/326/2024 del 8 maggio 2024</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litige porte sur le droit du recourant à une rente entière d’invalidité au-delà du 31 mai 2021.</w:t>
      </w:r>
    </w:p>
    <w:p>
      <w:r>
        <w:rPr>
          <w:b/>
        </w:rPr>
        <w:t>E. 4</w:t>
      </w:r>
    </w:p>
    <w:p>
      <w:r>
        <w:t>Dans le cadre du développement continu de l’AI,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w:t>
      </w:r>
    </w:p>
    <w:p>
      <w:r>
        <w:t>A/1889/2023 - 10/22 -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et 8C_644/2022 du 8 février 2023 consid. 2.2.3).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En l’occurrence, la décision querellée est postérieure au 1er janvier 2022, mais elle concerne le droit à une rente d’invalidité né le 1er février 2019, avec un changement de circonstance survenu, selon l’intimé, le 15 février 2021, avec le retour du recourant à une capacité de travail dans une activité adaptée de 100%, de sorte que c’est le droit en vigueur jusqu’au 31 décembre 2021 qui est applicable.</w:t>
      </w:r>
    </w:p>
    <w:p>
      <w:r>
        <w:rPr>
          <w:b/>
        </w:rPr>
        <w:t>E. 5</w:t>
      </w:r>
    </w:p>
    <w:p>
      <w:r>
        <w:t>A/1889/2023 - 11/22 -</w:t>
      </w:r>
    </w:p>
    <w:p>
      <w:r>
        <w:rPr>
          <w:b/>
        </w:rPr>
        <w:t>E. 5.1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5.2</w:t>
      </w:r>
    </w:p>
    <w:p>
      <w:r>
        <w:t>Dans un arrêt du 3 juin 2015 (ATF 141 V 281), le Tribunal fédéral a jugé que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w:t>
      </w:r>
    </w:p>
    <w:p>
      <w:r>
        <w:t>A/1889/2023 - 12/22 - de gravité et de cohérence. Les principes jurisprudentiels développés en matière de troubles somatoformes douloureux sont également applicables à la fibromyalgie (ATF 132 V 65 consid. 4.1). Les principes jurisprudentiels développés en matière de troubles somatoformes douloureux sont également applicables à la fibromyalgie (ATF 132 V 65 consid. 4.1), au syndrome de fatigue chronique ou de neurasthénie (ATF 139 V 346;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et en cas de troubles psychiques En revanche, ils ne sont pas applicables par analogie à la fatigue liée au cancer (cancer-related Fatigue) (ATF 139 V 346 consid. 3; arrêt du Tribunal fédéral 9C_73/2013 du 2 septembre 2013 consid. 5). La reconnaissance de l'existence d’une fibromyalgie suppose d'abord la présence d'un diagnostic émanant d’un rhumatologue s'appuyant lege artis sur les critères d'un système de classification reconnu (ATF 132 V 65 consid. 3.2). La reconnaissance de l'existence de troubles somatoformes douloureux persistants suppose la présence d'un diagnostic émanant d'un psychiatre. La reconnaissance d’un trouble psychique doit reposer sur un diagnostic posé par un psychiatre (ATF 130 V 396 consid. 5.3). 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w:t>
      </w:r>
    </w:p>
    <w:p>
      <w:r>
        <w:rPr>
          <w:b/>
        </w:rPr>
        <w:t>E. 5.3</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148 V 321 consid. 7.3.1 ; 145 V 209 consid. 5.3 et les références).</w:t>
      </w:r>
    </w:p>
    <w:p>
      <w:r>
        <w:t>A/1889/2023 - 13/22 -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144 I 103 consid. 2.1 ;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 ATF 112 V 371 consid. 2b ; 112 V 387 consid. 1b).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Un changement de jurisprudence n'est pas un motif de révision (ATF 129 V 200 consid. 1.2).</w:t>
      </w:r>
    </w:p>
    <w:p>
      <w:r>
        <w:rPr>
          <w:b/>
        </w:rPr>
        <w:t>E. 5.4.1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w:t>
      </w:r>
    </w:p>
    <w:p>
      <w:r>
        <w:t>A/1889/2023 - 14/22 -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w:t>
      </w:r>
    </w:p>
    <w:p>
      <w:r>
        <w:rPr>
          <w:b/>
        </w:rPr>
        <w:t>E. 5.4.2</w:t>
      </w:r>
    </w:p>
    <w:p>
      <w:r>
        <w:t>Sans remettre en cause le principe de la libre appréciation des preuves, le Tribunal fédéral des assurances a posé des lignes directrices en ce qui concerne la manière d'apprécier certains types d'expertises ou de rapports médicaux.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6</w:t>
      </w:r>
    </w:p>
    <w:p>
      <w:r>
        <w:t>Dans un premier grief, le recourant conteste la valeur probante de l’expertise administrative.</w:t>
      </w:r>
    </w:p>
    <w:p>
      <w:r>
        <w:rPr>
          <w:b/>
        </w:rPr>
        <w:t>E. 6.1.1</w:t>
      </w:r>
    </w:p>
    <w:p>
      <w:r>
        <w:t>Il a fait valoir en particulier que la conclusion de l’expertise psychiatrique, selon laquelle sa capacité de travail était entière depuis toujours, faisait totalement</w:t>
      </w:r>
    </w:p>
    <w:p>
      <w:r>
        <w:t>A/1889/2023 - 15/22 - abstraction des nombreux diagnostics décrits par les Drs F______ et H______ ainsi que sa psychologue. Le recourant a encore fait valoir que l’expert s’était prononcé sur sa capacité dans le passé en prenant en compte uniquement les constatations faites le jour de l’expertise.</w:t>
      </w:r>
    </w:p>
    <w:p>
      <w:r>
        <w:rPr>
          <w:b/>
        </w:rPr>
        <w:t>E. 6.1.2</w:t>
      </w:r>
    </w:p>
    <w:p>
      <w:r>
        <w:t>Selon l’intimé, l’expertise devait se voir reconnaître une pleine valeur probante. Du point de vue psychiatrique, l’expert ne retenait pas de comorbidité psychiatrique ayant une influence sur la capacité de travail. L’examen des indicateurs permettait de retenir que l’examen clinique n’objectivait aucune atteinte psychiatrique invalidante. De plus, l’absence d’un traitement antidépresseur et d’hospitalisation psychiatrique et un suivi de six mois seulement auprès d’une psychologue plaidaient indirectement contre un trouble incapacitant, une décompensation du trouble de la personnalité et des limitations fonctionnelles significatives. Il ressortait du rapport d’expertise que le recourant était capable de s’adapter aux règles et routines, qu’il planifiait et structurait des tâches et qu’il avait la capacité de prendre des décisions. Il effectuait des tâches ménagères (rangements ou courses) et avait des relations proches avec sa famille. Il n’avait pas de difficultés particulières dans son environnement social. L’analyse de sa vie quotidienne indiquait qu’il n’existait pas de limitation uniforme dans toutes les activités de la vie quotidienne et que le recourant disposait de ressources personnelles préservées.</w:t>
      </w:r>
    </w:p>
    <w:p>
      <w:r>
        <w:rPr>
          <w:b/>
        </w:rPr>
        <w:t>E. 6.2.1</w:t>
      </w:r>
    </w:p>
    <w:p>
      <w:r>
        <w:t>En l’espèce, si le rapport de l’expert psychiatre est assez succinct et s’il n’a pas commenté les rapports des médecins traitants du recourant, celui-ci a néanmoins indiqué que l’examen psychiatrique auquel il avait procédé était sans particularité et qu’il ne trouvait pas de psychopathologie spécifique chez le recourant. Il a expliqué qu’il ne retenait pas un PTSD chez le recourant, parce qu’il n’avait pas connu de phénomènes de guerre, de mort violente, de torture, de terrorisme, de viol ou d’autres crimes, et qu’il ne mentionnait pas de reviviscences répétées de l’événement traumatique, de phénomènes de flashbacks, ni de cauchemars, mais seulement des réveils algiques nocturnes. Il n’y avait pas d’anesthésie psychique chez le recourant, qui était correctement affecté, notamment à l’endroit de sa famille. Il n’y avait pas d’émoussement émotionnel, ni d’insensibilité à l’environnement chez le recourant, qui avait de bonnes relations avec ses anciens collègues de travail. Il n’existait pas d’anhédonie, car il s’intéressait au sport mécanique. On ne retrouvait pas d’attaque de panique ou de réaction agressive, d’état d’hypervigilance, ni de dépression ou d’abus d’alcool. L’expert relevait encore que le recourant n’avait pas de traitement psychiatrique et psychothérapeutique intégré et qu’il ne prenait pas de traitement psychopharmacologique.</w:t>
      </w:r>
    </w:p>
    <w:p>
      <w:r>
        <w:t>A/1889/2023 - 16/22 - Pour l’expert, le recourant ne souffrait à l’évidence pas d’épisodes dépressifs caractérisés, car il avait une modulation affective efficace. Il était sthénique et ne mentionnait pas d’inflexion thymique constante supérieure à deux semaines. L’expert a relevé, sous « Évaluation médicale », que l’état du recourant s’était prétérité en 2018 alors qu’il était déménageur et qu’il avait effectué une chute du troisième étage, qu’il n’avait jamais été hospitalisé en milieu psychiatrique et qu’il avait rencontré une psychologue durant six mois et conclu que sa santé psychiatrique était sans particularité. Les conclusions du Dr P______ sont ainsi assez motivées pour que l’on comprenne pour quels motifs, il n’a pas retenu un PTSD, ni un état dépressif. Ses conclusions rejoignent celles du psychiatre de la CRR, qui mentionnait, le 5 février 2019, que les symptômes de type PTSD s’étaient considérablement améliorés sous traitement EMDR depuis l’entrée en clinique du recourant et qu’aucun trouble psychopathologique patent n’avait été constaté pendant son séjour. Par ailleurs, le Dr F______ ne s’est pas prononcé sur le diagnostic de trouble dépressif, dans son rapport du 2 août 2018, au motif qu’il n’avait alors vu le recourant qu’à une reprise. Quant à la psychologue G______, elle a indiqué le 6 juin 2019, qu’entre juin et septembre 2018, les symptômes de stress post-traumatique du recourant s’étaient améliorés, précisant que les réactions d’hypervigilance, les cauchemars ainsi que les flashbacks avaient presque totalement disparu, si bien que le recourant avait décidé d’arrêter le suivi à la fin du mois de septembre 2018, ce qui confirme également l’analyse du Dr P______.</w:t>
      </w:r>
    </w:p>
    <w:p>
      <w:r>
        <w:rPr>
          <w:b/>
        </w:rPr>
        <w:t>E. 6.2.2</w:t>
      </w:r>
    </w:p>
    <w:p>
      <w:r>
        <w:t>La chambre de céans constate encore que le Dr P______ a pris en compte l’état du recourant avant son examen, du moins partiellement, dès lors qu’il a notamment indiqué dans son rapport que celui-ci n’avait pas d’antécédents familiaux et qu’il n’avait jamais été hospitalisé en psychiatrie. Il a également mentionné que le recourant avait rencontré une psychologue pendant six mois, qu’il n’avait pas de traitement psychiatrique et psychothérapeutique intégré, ni de traitement psychopharmacologique, ce qui n’apparaît pas contraire aux pièces du dossier. Par ailleurs, le rapport d’expertise contient un résumé des pièces médicales du dossier, en particulier celles relatives à l’état psychique du recourant. On peut certes reprocher à l’expert de ne pas avoir nuancé ses conclusions en ne se prononçant pas sur l’éventuelle existence d’un PTSD en 2018, mais cette lacune ne remet pas sérieusement en cause ses conclusions, étant relevé qu’est déterminante, dans le cas d’espèce, la situation au 15 février 2021, l’intimé ayant admis un totale incapacité de travail du recourant jusqu’à cette date sur le plan orthopédique.</w:t>
      </w:r>
    </w:p>
    <w:p>
      <w:r>
        <w:rPr>
          <w:b/>
        </w:rPr>
        <w:t>E. 6.2.3</w:t>
      </w:r>
    </w:p>
    <w:p>
      <w:r>
        <w:t>La chambre de céans constate qu’il ressort des pièces du dossier que sur le plan psychiatrique, la situation du recourant s’est améliorée, puisqu’il a cessé son</w:t>
      </w:r>
    </w:p>
    <w:p>
      <w:r>
        <w:t>A/1889/2023 - 17/22 - suivi avec la psychologue G______ en septembre 2018, estimant qu’il n’était plus nécessaire. Il a certes repris un suivi psychothérapeutique, en 2019, sur la recommandation des médecins de la CRR, mais le 18 septembre 2019, sa psychologue a indiqué que les réactions d’hypervigilance, ses cauchemars ainsi que ses flashbacks avaient disparu et que son humeur s’était améliorée malgré la persistance des douleurs physiques importantes au quotidien. Il souffrait toujours d’un isolement social suite à l’arrêt de son activité professionnelle, mais faisait preuve d’une grande adaptation à ce sujet. Concernant son futur, notamment professionnel, les doutes et l’anxiété étaient encore présents. Le recourant se disait motivé à trouver des solutions pour l’avenir. Son état psychologique général s’était clairement amélioré et de ce fait il avait été décidé d’espacer les séances en vue d’une fin de prise en charge. Dans son rapport du 20 mai 2020, le Dr J______, du service d’anesthésiologie, a indiqué que les douleurs du recourant étaient en constante amélioration, quoique lente, et que depuis plusieurs mois, il avait retrouvé une certaine qualité de sommeil, qui était à nouveau réparateur. Ce rapport confirme l’amélioration de l’état du recourant, tant sur le plan somatique que psychologique. Le rapport établi le par la Dre E______, confirme que le recourant bénéficiait de ressources, puisqu’elle relevait sa résilience après son traumatisme et sa capacité à mobiliser ses ressources personnelles et à faire appel à son entourage. Quant à la psychologue G______, elle a constaté, le 18 septembre 2019, que le recourant souffrait toujours d’un isolement social suite à l’arrêt de son activité professionnelle, mais qu’il faisait preuve d’une grande adaptation à ce sujet, ce qui confirme les ressources du recourant. Les déclarations du recourant à la chambre de céans confirment qu’il disposait de ressources, échangeant et s’entendant bien tant avec la personne avec laquelle il habitait, qu’avec sa mère, qu’il avait deux fois par semaine au téléphone. S’il a indiqué qu’il n’avait pas d'amis pour des raisons qui lui étaient propres, il a précisé voir régulièrement ses enfants, avec lesquels il avait de bonnes relations, ce qui l’aidait moralement. Il s’occupait parfois de sa petite-fille de 4 ans et depuis son accident, il parlait de nouveau à son ex-femme. L’analyse des indicateurs de gravité fait par l’expert psychiatre n’apparaît en outre pas contraire au dossier. Aucun rapport médical au dossier ne remet sérieusement en cause la conclusion de l’expert psychiatre, selon laquelle la capacité de travail du recourant dans une activité adaptée était de 100%, à tout le moins dès le 15 février 2021, et cette appréciation est convaincante.</w:t>
      </w:r>
    </w:p>
    <w:p>
      <w:r>
        <w:rPr>
          <w:b/>
        </w:rPr>
        <w:t>E. 6.3.1</w:t>
      </w:r>
    </w:p>
    <w:p>
      <w:r>
        <w:t>Le recourant a encore fait valoir que la partie orthopédique de l’expertise souffrait également de carences. Ses douleurs au dos et au membre supérieur droit n’avaient pas été suffisamment prises en compte. Elles étaient mentionnées et jugées plausibles et cohérentes, mais lorsqu’il s’agissait de motiver leur impact</w:t>
      </w:r>
    </w:p>
    <w:p>
      <w:r>
        <w:t>A/1889/2023 - 18/22 - sur la capacité de gain, l’expert orthopédiste s’était contenté de conclure à des limitations fonctionnelles. Or, il était requis dans les mandats d’expertise de justifier plus précisément des capacités, des ressources et des difficultés en lien avec les douleurs. L’expert n’avait pas non plus traité de leur évolution sur la durée ou de leur effet combiné sur sa situation.</w:t>
      </w:r>
    </w:p>
    <w:p>
      <w:r>
        <w:rPr>
          <w:b/>
        </w:rPr>
        <w:t>E. 6.3.2</w:t>
      </w:r>
    </w:p>
    <w:p>
      <w:r>
        <w:t>Selon l’intimé, les experts avaient tenu compte des avis des médecins traitants lors de leur expertise. Aucun élément objectivement vérifiable – de nature clinique ou diagnostique – qui aurait été ignoré dans le cadre de l’instruction et de l’expertise et qui serait suffisamment pertinent pour remettre en cause le bien-fondé des conclusions des experts n’avait été apporté par le recourant. Il ne suffisait pas de prétendre que l’expert aurait dû présenter des conclusions différentes.</w:t>
      </w:r>
    </w:p>
    <w:p>
      <w:r>
        <w:rPr>
          <w:b/>
        </w:rPr>
        <w:t>E. 6.4</w:t>
      </w:r>
    </w:p>
    <w:p>
      <w:r>
        <w:t>La chambre de céans constate que l’expert orthopédiste a retenu les diagnostics incapacitants de status après fractures du rachis dorsal et de l’avant- bras droit et comme limitations fonctionnelles, la marche prolongée, les travaux en porte-à-faux, le port de charge répété et supérieure à 10 kg et les travaux nécessitant une importante force de préhension avec le membre supérieur droit. Il a relevé que le recourant n’avait plus de suivi médical et que sa situation était stabilisée. Il ne se souvenait plus à quand remontait son dernier rendez-vous avec son généraliste. Les douleurs lombaires n’irradiaient pas dans les membres inférieurs dans lesquels il n’y avait ni paresthésies ni parésie. Les douleurs rachidiennes dont se plaignait le recourant étaient cohérentes et plausibles avec les fractures subies. Il indiquait prendre du Dafalgan et du Cebrelex en alternance, précisant pouvoir parfois rester une semaine sans consommer d’antalgiques. Il n’avait pas l’impression que ces médicaments lui procuraient une réelle amélioration. Il ressort du rapport de l’expert que l’intensité des douleurs du recourant doit être relativisée par rapport à ses plaintes. Par ailleurs, faute de diagnostic d’une symptomatologie douloureuse sans substrat organique, la capacité de travail n’avait pas à être examinée selon les indicateurs de gravité développés par le Tribunal fédéral. Même si l’on considérait qu’une telle analyse devait être faite, il faudrait conclure que les atteintes du recourant n’étaient pas invalidantes, en se référant à l’analyse et aux conclusions de l’expert psychiatre qui a examiné ces indicateurs. Le recourant n’invoque enfin pas d’éléments médicaux remettant sérieusement en cause les conclusions de l’expert orthopédiste. Les conclusions de ce dernier sont donc probantes.</w:t>
      </w:r>
    </w:p>
    <w:p>
      <w:r>
        <w:rPr>
          <w:b/>
        </w:rPr>
        <w:t>E. 6.5.1</w:t>
      </w:r>
    </w:p>
    <w:p>
      <w:r>
        <w:t>Le recourant a fait valoir que la partie consensuelle de l’expertise s’apparentait plus à un résumé de chacune des expertises sans que l’on puisse saisir comment les experts avaient croisé leurs constatations pour arriver à une analyse globale de la situation.</w:t>
      </w:r>
    </w:p>
    <w:p>
      <w:r>
        <w:t>A/1889/2023 - 19/22 -</w:t>
      </w:r>
    </w:p>
    <w:p>
      <w:r>
        <w:rPr>
          <w:b/>
        </w:rPr>
        <w:t>E. 6.5.2</w:t>
      </w:r>
    </w:p>
    <w:p>
      <w:r>
        <w:t>La chambre estime que les conclusions consensuelles des experts sont suffisantes et convaincantes. En l’absence de psychopathologie incapacitante, il n’y avait pas lieu à une analyse globale de la situation très poussée.</w:t>
      </w:r>
    </w:p>
    <w:p>
      <w:r>
        <w:rPr>
          <w:b/>
        </w:rPr>
        <w:t>E. 6.6</w:t>
      </w:r>
    </w:p>
    <w:p>
      <w:r>
        <w:t>En conclusion, l’expertise administrative doit se voir reconnaître une pleine valeur probante.</w:t>
      </w:r>
    </w:p>
    <w:p>
      <w:r>
        <w:rPr>
          <w:b/>
        </w:rPr>
        <w:t>E. 7</w:t>
      </w:r>
    </w:p>
    <w:p>
      <w:r>
        <w:t>En conséquence, la décision querellée doit être confirmée en tant qu’elle retient que le recourant a retrouvé une pleine capacité de travail dans une activité adaptée dès le 15 février 2021.</w:t>
      </w:r>
    </w:p>
    <w:p>
      <w:r>
        <w:rPr>
          <w:b/>
        </w:rPr>
        <w:t>E. 8.1.1</w:t>
      </w:r>
    </w:p>
    <w:p>
      <w:r>
        <w:t>Le recourant a contesté l’abattement sur le revenu avec invalidité retenu par l’intimé en raison des limitations fonctionnelles, faisant valoir que son âge et le fait que ses limitations fonctionnelles ne lui permettaient plus d’effectuer aucune des activités qu’il avait effectuées ces trente dernières années justifiaient un abattement plus élevé que 10%. Si son âge n’était pas un critère à lui tout seul, il devait être pris en considération de manière globale tout comme les nombreuses années de service dans l’activité habituelle. En omettant tous les facteurs étrangers aux limitations fonctionnelles, l’intimé avait injustement limité son pouvoir d’examen.</w:t>
      </w:r>
    </w:p>
    <w:p>
      <w:r>
        <w:rPr>
          <w:b/>
        </w:rPr>
        <w:t>E. 8.1.2</w:t>
      </w:r>
    </w:p>
    <w:p>
      <w:r>
        <w:t>L’intimé a répondu que l’abattement de 10% était conforme au droit et qu’hormis les limitations fonctionnelles, il n’y avait pas d’autres éléments déterminants justifiant une réduction supplémentaire du revenu avec invalidité. Il s’était fondé sur les données économiques statistiques, singulièrement sur le revenu auquel pouvaient prétendre les hommes effectuant des activités simples et répétitives (niveau 1 de qualification). Cette valeur statistique s’appliquait en principe à tous les assurés qui ne pouvaient plus accomplir leur ancienne activité parce qu’elle était physiquement trop astreignante pour leur état de santé, mais qui conservaient néanmoins une capacité de travail importante dans des travaux légers. Pour ces assurés, ce salaire statistique était suffisamment représentatif de ce qu’ils seraient en mesure de réaliser en tant qu’invalides, dès lors qu’il recouvrait un large éventail d’activités variées et non qualifiées, n’impliquant pas de formation particulière et compatibles avec les limitations fonctionnelles présentées L’âge du recourant au moment de la survenance de l’hypothétique invalidité était encore éloigné du seuil à partir duquel la jurisprudence parlait d’un âge avancé, l’assuré étant alors âgé de 53 ans. L’intimé n’avait ainsi pas abusé de son pouvoir d’appréciation.</w:t>
      </w:r>
    </w:p>
    <w:p>
      <w:r>
        <w:rPr>
          <w:b/>
        </w:rPr>
        <w:t>E. 8.2</w:t>
      </w:r>
    </w:p>
    <w:p>
      <w:r>
        <w:t>La mesure dans laquelle les salaires ressortant des statistiques doivent être réduits dépend de l’ensemble des circonstances personnelles et professionnelles du cas particulier (limitations liées au handicap, âge, années de service,</w:t>
      </w:r>
    </w:p>
    <w:p>
      <w:r>
        <w:t>A/1889/2023 - 20/22 - nationalité/catégorie d’autorisation de séjour et taux d’occupation). Une déduction globale maximale de 25% sur le salaire statistique permet de tenir compte des différents éléments qui peuvent influencer le revenu d’une activité lucrative (ATF 126 V 75 consid. 5b/aa-cc). 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à opérer sur le salaire statistique dans un cas concret constitue une question relevant du pouvoir d’appréciation, qui est soumise à l’examen du juge de dernière instance uniquement si la juridiction cantonale a exercé son pouvoir d’appréciation de manière contraire au droit (ATF 137 V 71 consid. 5.1; 132 V 393 consid. 3.3). S'agissant des limitations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Selon le Tribunal fédéral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8C_227/2017 du 17 mai 2018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 années, avait accompli des</w:t>
      </w:r>
    </w:p>
    <w:p>
      <w:r>
        <w:t>A/1889/2023 - 21/22 - activités saisonnières dans le domaine de la plâtrerie et dont le niveau de formation était particulièrement limité (arrêt du Tribunal fédéral 8C_103/2018 du 25 juillet 2018 consid. 5.2). Dans un arrêt du 26 mai 2023 (8C_438/2022 consid. 4.3.4 à 4.3.6), le Tribunal fédéral a considéré que l’assuré n’exposait pas – et on ne voyait pas – en quoi ses perspectives salariales seraient concrètement réduites sur un marché du travail équilibré en raison de son âge. En outre, étant âgé de 53 ans au moment de la naissance du droit à la rente, respectivement de 54 ans au moment de la décision sur opposition, l’assuré n’avait pas encore atteint l’âge à partir duquel le Tribunal fédéral reconnaît généralement que ce facteur peut être déterminant et nécessite une approche particulière (arrêts du Tribunal fédéral 8C_608/2021 du 26 avril 2022 consid. 4.3.2; 8C_175/2020 du 22 septembre 2020 consid. 4.2). Comme les activités adaptées envisagées du niveau de compétence 1 ne requéraient ni formation, ni expérience professionnelle spécifique, les effets pénalisants au niveau salarial induits par l’âge ne pouvaient pas être considérés comme suffisamment établis. En outre, il fallait rappeler que ces emplois non qualifiés étaient, en règle générale, disponibles indépendamment de l’âge de l’intéressé sur un marché du travail équilibré (cf. ATF 146 V 16 consid. 7.2.1; arrêts du Tribunal fédéral 8C_661/2018 du 28 octobre 2019 consid. 3.3.4.2; 8C_103/2018 du 25 juillet 2018 consid. 5.2). En ce qui concernait la prise en compte d’un abattement lié aux années de service, elle n’est pas justifiée dans le cadre du choix du niveau de compétence 1 de l’ESS, l’influence de la durée de service sur le salaire étant peu importante dans cette catégorie d’emplois qui ne nécessitent ni formation ni expérience professionnelle spécifique (voir 8C_103/2018 précité consid. 5.2). En conclusion, seules les limitations fonctionnelles de l’assuré – prohibant les déplacements rapides ou prolongés au-delà de 15 minutes, l’utilisation répétée d’escaliers, le déplacement prolongé en terrain instable, le port de lourdes charges ainsi que les positions agenouillées ou accroupies – avaient une incidence sur les activités simples et légères qui restent exigibles de sa part. Dès lors que l’assurance avait tenu compte desdites limitations pour réduire le salaire statistique de 5%, il n’appartenait pas au Tribunal fédéral de s’en écarter.</w:t>
      </w:r>
    </w:p>
    <w:p>
      <w:r>
        <w:rPr>
          <w:b/>
        </w:rPr>
        <w:t>E. 8.3</w:t>
      </w:r>
    </w:p>
    <w:p>
      <w:r>
        <w:t>En l’espèce, l’abattement de 10% fixé par l’intimé apparaît justifié pour tenir compte des limitations fonctionnelles du recourant, au vu la jurisprudence précitée, dès lors qu’il avait 50 ans au moment déterminant, soit en février 2021, et que seules des activités simples et répétitives étaient exigibles de lui, lesquelles ne nécessitent pas de compétences, ni de formations particulières.</w:t>
      </w:r>
    </w:p>
    <w:p>
      <w:r>
        <w:rPr>
          <w:b/>
        </w:rPr>
        <w:t>E. 9</w:t>
      </w:r>
    </w:p>
    <w:p>
      <w:r>
        <w:t>Infondé, le recours sera rejeté et un émolument de CHF 200.- sera mis à la charge du recourant (art. 69 al.1bis LAI).</w:t>
      </w:r>
    </w:p>
    <w:p>
      <w:r>
        <w:t>A/1889/2023 - 22/22 -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