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ATAS/326/2020 vom 28. April 2020</w:t>
      </w:r>
    </w:p>
    <w:p>
      <w:r>
        <w:t>GE Cour de justice, 2020-04-28, FR</w:t>
      </w:r>
    </w:p>
    <w:p>
      <w:r>
        <w:rPr>
          <w:b/>
        </w:rPr>
        <w:t xml:space="preserve">Quelle: </w:t>
      </w:r>
      <w:r>
        <w:t>https://mcp.opencaselaw.ch/entscheid/ge_gerichte_ATAS_326_2020</w:t>
      </w:r>
    </w:p>
    <w:p>
      <w:r>
        <w:t>FR: GE_GERICHTE ATAS/326/2020 du 28 avril 2020</w:t>
      </w:r>
    </w:p>
    <w:p>
      <w:r>
        <w:t>IT: GE_GERICHTE ATAS/326/2020 del 28 aprile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t>A/282/2019 - 20/30 -</w:t>
      </w:r>
    </w:p>
    <w:p>
      <w:r>
        <w:rPr>
          <w:b/>
        </w:rPr>
        <w:t>E. 3</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 (art. 56 ss LPGA et 62 ss LPA).</w:t>
      </w:r>
    </w:p>
    <w:p>
      <w:r>
        <w:rPr>
          <w:b/>
        </w:rPr>
        <w:t>E. 4</w:t>
      </w:r>
    </w:p>
    <w:p>
      <w:r>
        <w:t>Le litige porte sur le droit du recourant à des mesures professionnelles, subsidiairement à une rente.</w:t>
      </w:r>
    </w:p>
    <w:p>
      <w:r>
        <w:rPr>
          <w:b/>
        </w:rPr>
        <w:t>E. 5</w:t>
      </w:r>
    </w:p>
    <w:p>
      <w:r>
        <w:t>Le recourant conclut en premier lieu à l’octroi de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 Ulrich MEYER-BLASER, Zum Verhältnismässigkeitsgrundsatz im staatlichen Leistungsrecht, 1985, p. 82 ss et 123 ss). Quant à la condition de l'invalidité exprimée par l'art. 8 al. 1 LAI, elle doit être interprétée au regard des art. 8 LPGA et 4 LAI et définie, compte tenu du contexte de réadaptation, en fonction de la mesure requise (cf. Ulrich MEYER, Bundesgesetz über die Invalidenversicherung, 3ème éd. 2014, ad art. 8 LAI p. 95). b/aa. Conformément à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 voir également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Sont exclus les handicaps insignifiants qui n'ont pas pour effet de provoquer un empêchement sérieux et qui, par conséquent, ne justifient pas</w:t>
      </w:r>
    </w:p>
    <w:p>
      <w:r>
        <w:t>A/282/2019 - 21/30 - l'intervention de l'assurance-invalidité (ATF 114 V 29 consid. 1a p. 29 ; MEYER- 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du Tribunal fédéral des assurances I 552/86 du 27 novembre 1987 consid. 4a, in RCC 1988 p. 191 ; voir également MEYER, op. cit., ad art. 15 LAI p. 174). b/bb.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 la préparation à un travail auxiliaire ou à une activité en atelier protégé (al. 2 let a) ; la formation dans une nouvelle profession pour les assurés qui, postérieurement à la survenance de l’invalidité, ont entrepris de leur propre chef une activité professionnelle inadéquate qui ne saurait être raisonnablement poursuivie (al. 2 let b) ; le perfectionnement dans le domaine professionnel de l’assuré ou dans un autre domaine, pour autant qu’il soit approprié et convenable, et qu’il permette, selon toute vraisemblance, de maintenir ou d’améliorer la capacité de gain de l’assuré (al. 2 let. c, première phrase, dans sa version en vigueur à partir du 1er janvier 2004 [4ème révision]). Ont par exemple valeur de perfectionnement : la formation complémentaire permettant à un mécatronicien d’automobiles CFC d’obtenir un diplôme de diagnosticien d’automobiles ; la formation permettant à une employée de commerce de devenir assistante sociale (cf. chiffre 3017 de la circulaire sur les mesures de réadaptation d'ordre professionnel [CMRP]) ; la formation d’une dessinatrice en bâtiment, sourde, au dessin assisté par ordinateur (cf. chiffre 3019 CMRP). Il n'est plus indispensable d'examiner si la mesure de réadaptation au sens de l'art. 16 al. 2 let. c LAI est nécessaire pour maintenir ou améliorer la capacité de gain de l'intéressé. Il suffit qu'elle y contribue, sans que la nécessité d’un perfectionnement professionnel se fasse sentir. Autrement dit, des personnes assurées qui sont déjà réadaptées comme il se doit et qui n’ont pas besoin de mesures de réadaptation du fait de leur invalidité ont elles aussi droit à des prestations élargies selon l’art. 16 al. 2 let. c. Elles peuvent donc faire valoir ce droit même si elles ont déjà des connaissances qualifiées dans la vie professionnelle ou qu’elles disposent d’un diplôme de fin d’études et qu’elles sont insérées professionnellement, mais qu’elles désirent se perfectionner. Les raisons peuvent être multiples : rafraîchir des connaissances spécifiques, apprendre de nouvelles technologies, améliorer ses chances sur le marché du travail, exercer une activité plus intéressante ou améliorer ses possibilités de gain (cf. chiffre 3019 CMRP). Le droit au remboursement des frais supplémentaires liés à l'invalidité au sens de l’art. 16 al. 2 let. c LAI suppose que l'intéressé suive une mesure de formation lui</w:t>
      </w:r>
    </w:p>
    <w:p>
      <w:r>
        <w:t>A/282/2019 - 22/30 - permettant d'améliorer, de développer ou de compléter ses connaissances professionnelles initiales ou d'acquérir de nouvelles connaissances dans un domaine qui ne correspond pas à celui de sa formation initiale. Il ne s'agit en revanche pas de prendre en charge des frais liés à l'exercice en tant que tel de l'activité professionnelle (arrêts du Tribunal fédéral 9C_786/2007 du 22 juillet 2008 consid. 42 ; 9C_346/2007 du 23 janvier 2008 consid. 5.1). b/cc. Aux termes de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du règlement sur l'assurance-invalidité du 17 janvier 1961 [RAI - RS 831.201]). Par ailleurs, comme mentionné précédemment, seule une perte de gain de 20 % environ ouvre en principe droit à une mesure de reclassement dans une nouvelle profession (ATF 124 V 108 consid. 2b et les arrêts cités). b/dd. Aux termes de l'art. 18 al. 1 LAI (nouvelle teneur selon la novelle du</w:t>
      </w:r>
    </w:p>
    <w:p>
      <w:r>
        <w:rPr>
          <w:b/>
        </w:rPr>
        <w:t>E. 6</w:t>
      </w:r>
    </w:p>
    <w:p>
      <w:r>
        <w:t>a. À titre liminaire, la chambre de céans constate que, dans son recours, le recourant se limite à conclure à l’octroi de mesures d’ordre professionnel, sans préciser leur nature. Lors de l’audience de comparution personnelle, le 14 octobre 2019, il a toutefois précisé qu’il souhaiterait pouvoir disposer d'une formation complémentaire pour l'encadrement des élèves ou le coaching. Dans sa réponse du 19 mars 2019, l’intimé s’est opposé à l’octroi de mesures d’ordre professionnel, rappelant tout d’abord que la capacité de travail du recourant</w:t>
      </w:r>
    </w:p>
    <w:p>
      <w:r>
        <w:t>A/282/2019 - 23/30 - était de 60% dans son activité habituelle et de 100% dans une activité adaptée à ses limitations fonctionnelles. Dès lors que les limitations fonctionnelles retenues ne l’empêchaient pas d’exercer une activité adaptée, accessible sans formation particulière, des mesures de réadaptation, lesquelles n’auraient pas été de nature à réduire le dommage, ne se justifiaient pas. Par ailleurs, le recourant avait refusé des mesures d’intervention précoce et ne s’était pas manifesté par la suite. Lors de l’audience de comparution personnelle, l’intimé ne s’est pas prononcé sur l’octroi d’une mesure de perfectionnement professionnel dans le domaine de l’encadrement des élèves ou le coaching. b. Cela étant rappelé, force est de constater, en premier lieu, que le recourant a repris son activité professionnelle au sein de l’école, de sorte qu’il n’est de toute évidence pas à la recherche d’un emploi. Partant, les mesures d’ordre professionnel suivantes ne sauraient entrer en considération : reclassement, orientation professionnelle et aide au placement. En effet, ces mesures ont pour but d’aider le recourant dans le choix ou la recherche d’une nouvelle activité, adaptée à ses limitations fonctionnelles. Dès lors, à moins que l’intimé ne requiert du recourant un changement de profession, les mesures d’ordre professionnel précitées n’entrent pas en considération. En revanche, la question d’un perfectionnement dans le domaine d’activité du recourant peut se poser. Certes, cette mesure n’a été évoquée qu’au cours de l’audience de comparution personnelle et l’intimé ne s’est pas prononcé à ce propos. Cette mesure faisant partie des mesures d’ordre professionnel, dont le refus a été contesté, sur le principe, par le recourant, la décision querellée sera annulée sur ce point et la cause sera renvoyée à l’intimé pour instruction complémentaire sur le bien-fondé d’une telle mesure. En effet, il n’appartient pas à la juridiction cantonale de statuer à la place de l’administration sur la prise en charge de la formation en matière de coaching/encadrement des élèves sous l’angle de l’art. 16 al. 2 let. c LAI car cela contreviendrait au principe du double degré de juridiction.</w:t>
      </w:r>
    </w:p>
    <w:p>
      <w:r>
        <w:rPr>
          <w:b/>
        </w:rPr>
        <w:t>E. 7</w:t>
      </w:r>
    </w:p>
    <w:p>
      <w:r>
        <w:t>Le recourant conteste ensuite le calcul du degré d’invalidité.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A/282/2019 - 24/30 -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p. 337 et les références). b/aa.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w:t>
      </w:r>
    </w:p>
    <w:p>
      <w:r>
        <w:t>A/282/2019 - 25/30 - d'affaires ne se traduit donc pas par une diminution proportionnelle du bénéfice. De telles circonstances nécessitent bien plutôt l'examen concret de la situation de la personne assurée (arrêt du Tribunal fédéral 9C_44/2011 du 1er septembre 2011 consid. 4.2 et 4.3). b/bb.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1er septembre 2011 consid. 3.3, et les références). b/cc.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Concrètement, la détermination de l’invalidité se fait en deux temps dans le cadre de la méthode extraordinaire (Circulaire de l'OFAS concernant l'invalidité et l'impotence de l'assurance-invalidité établie [CIIAI], ch. 3105s) : - Il faut, tout d’abord, effectuer une comparaison des champs d’activités, en établissant quelles sont les activités que l’assuré pourrait exercer avec et sans atteinte à la santé, et dans quel laps de temps il pourrait les accomplir. Dans ce</w:t>
      </w:r>
    </w:p>
    <w:p>
      <w:r>
        <w:t>A/282/2019 - 26/30 - contexte, il y a notamment lieu d’examiner dans quelle mesure il lui serait possible de réduire sa perte de gain, en substituant à certaines des tâches qu’il accomplissait auparavant d’autres tâches, mieux adaptées au handicap dont il souffre. - Ensuite, il s’agira de pondérer les activités en appliquant à chaque activité le salaire de référence usuel dans la branche. On peut ainsi déterminer le revenu sans invalidité et le revenu d’invalide et effectuer une comparaison des revenus. Concrètement, il y a lieu de pondérer les activités exercées par l'indépendant en appliquant à chaque activité le salaire de référence usuel dans la branche. L'incidence des empêchements dans les diverses activités sur la capacité de gain peut se déterminer de deux manières différentes : - Selon la formule suivante (cf. ATF 128 V 29 consid. 4a) :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 - Selon le tableau suivant (cf. ch. 3106 CIAII) : Description des activités Pondération sans handicap Pondération avec handicap Revenu en francs Revenu sans handicap Revenu avec handicap</w:t>
      </w:r>
    </w:p>
    <w:p>
      <w:r>
        <w:t>… …% …% CHF … CHF … CHF … Total 100% …% CHF … CHF … CHF … La détermination du degré d’invalidité s’effectue ensuite de la manière suivante :</w:t>
      </w:r>
    </w:p>
    <w:p>
      <w:r>
        <w:t>Revenu sans handicap - Revenu avec handicap</w:t>
      </w:r>
    </w:p>
    <w:p>
      <w:r>
        <w:t>Perte de gain liée au handicap Et la perte de gain en % (correspondant à l’invalidité en %) = perte de gain liée au handicap / revenu sans invalidité</w:t>
      </w:r>
    </w:p>
    <w:p>
      <w:r>
        <w:rPr>
          <w:b/>
        </w:rPr>
        <w:t>E. 9</w:t>
      </w:r>
    </w:p>
    <w:p>
      <w:r>
        <w:t>a. En l’espèce, l’intimé a calculé le degré d’invalidité du recourant de la manière suivante (cf. rapport d’enquête pour activité professionnelle indépendante, du 1er mai 2018 ; projet de décision du 2 juillet 2018 et décision du 7 décembre 2018) :</w:t>
      </w:r>
    </w:p>
    <w:p>
      <w:r>
        <w:t>A/282/2019 - 27/30 -</w:t>
      </w:r>
    </w:p>
    <w:p>
      <w:r>
        <w:t>Revenu sans invalidité du recourant = bénéfice de l’école + charges liées au handicap 2 Revenu avec invalidité = revenu sans invalidité du recourant - charges liées au handicap Cette manière de procéder ne tient toutefois pas compte de l’ensemble des limitations du recourant et de la réorganisation qui a été nécessaire. En effet, selon le rapport du service des indépendants du 1er mai 2018, plusieurs tâches auparavant effectuées par le recourant ont été confiées à la collaboratrice, au frère du recourant, à un stagiaire ou encore à la personne qui s’occupe de l’entretien général de l’école. En prenant en considération uniquement le salaire de la collaboratrice, l’intimé n’a pas tenu compte des tâches désormais confiées au stagiaire et à la personne qui s’occupe de l’entretien général de l’école. On peut également se demander si, malgré l’engagement de la collaboratrice, le frère du recourant ne continuerait pas à exercer certaines tâches précédemment confiées au recourant. De plus, la prise en considération du montant versé à la mère du recourant dans la détermination des revenus, sans que les raisons de ce versement ne soient connues ou encore la non- prise en considération des frais de sous-traitance de la PPI, sans avoir investigué plus avant le cahier de charges du frère du recourant, constituent des éléments supplémentaires susceptibles de remettre en question le calcul du degré d’invalidité tel qu’effectué par l’intimé. Ainsi, en l'occurrence, seule la procédure extraordinaire d'évaluation de l'invalidité est de nature à permettre une évaluation conforme au droit des effets de l'atteinte à la santé sur la capacité de gain de l'assuré. b. L’intimé a procédé, dans son rapport d’enquête du 1er mai 2018, à une comparaison des champs d’activité. Champs d'activités sans atteinte à la santé Pondération sans handicap Taux d'incapacité Incapacité de travail pondérée Direction/administration 85 % 35 % 29% Dactylographie 5 % 90 % 4 % Gestion du stock 5 % 100 % 5 % Entretien et maintenance 5 % 100 % 5 % Total 100 %</w:t>
      </w:r>
    </w:p>
    <w:p>
      <w:r>
        <w:t>44 % Le recourant conteste la pondération de l’enseignement de la dactylographie en fournissant un relevé des heures datant de l’année 2013-2014. Pour lui, la comparaison des champs d’activités aurait dû être la suivante :</w:t>
      </w:r>
    </w:p>
    <w:p>
      <w:r>
        <w:t>A/282/2019 - 28/30 - Champs d'activités sans atteinte à la santé Pondération sans handicap Taux d'incapacité Incapacité de travail pondérée Direction/administration 70 % 35 % 25 % Dactylographie 20 % 90 % 18 % Gestion du stock 5 % 100 % 5 % Entretien et maintenance 5 % 100 % 5 % Total 100 %</w:t>
      </w:r>
    </w:p>
    <w:p>
      <w:r>
        <w:t>60 % Lors de l’audience de comparution personnelle, le recourant a toutefois expliqué que le nombre d’heures de cours de dactylographie variait d’une année à l’autre et se déterminait en fonction du nombre d’élèves et des enseignants. Les calculs effectués par les parties appellent ainsi les commentaires suivants : - En fonction de la décision de l’intimé s’agissant du perfectionnement professionnel demandé par le recourant, il conviendra d’examiner la possibilité de substituer aux activités d’enseignement de la dactylographie, gestion du stock et maintenance, le coaching ou toute autre activité en lien avec le perfectionnement professionnel pris en charge. - Dès lors que le nombre d’heures de cours de dactylographie varie d’une année à l’autre, on ne saurait retenir la pondération proposée par le recourant sans s’être assuré au préalable que ce nombre d’heures correspond au nombre d’heures généralement enseignées dans l’école. En cas de fluctuation trop importante, il appartiendra à l’intimé, d’effectuer une moyenne sur plusieurs années, comme cela est la pratique en cas de revenu fluctuant. Pour ce faire, l’intimé sera invité à récolter les plans des cours dispensés sur plusieurs années scolaires. - Une fois la pondération arrêtée, il appartiendra à l’intimé de déterminer le salaire statistique relatif à chaque champ d’activité selon les statistiques applicables. En effet, on ne peut se fonder exclusivement sur le résultat de la comparaison des activités, car cela reviendrait à faire fi de l’incapacité de gain, laquelle est pourtant déterminante pour le calcul du degré d’invalidité. Dans ce contexte, c’est le lieu de préciser que, lorsque les revenus avec et sans invalidité sont basés sur la même tabelle statistique, il est superflu de les chiffrer avec exactitude. Il est ainsi inutile d’indexer ces chiffres et de les adapter à l'horaire hebdomadaire de travail de l’année pertinente. La décision querellée doit par conséquent également être annulée pour ce motif.</w:t>
      </w:r>
    </w:p>
    <w:p>
      <w:r>
        <w:rPr>
          <w:b/>
        </w:rPr>
        <w:t>E. 10</w:t>
      </w:r>
    </w:p>
    <w:p>
      <w:r>
        <w:t>Au vu de ce qui précède, le recours est partiellement admis et la décision litigieuse annulée. La cause est renvoyée à l’intimé pour instruction complémentaire au sens des considérants et nouvelle décision.</w:t>
      </w:r>
    </w:p>
    <w:p>
      <w:r>
        <w:t>A/282/2019 - 29/30 - Le recourant, représenté par un avocat, a droit à des dépens, qui seront fixés à CHF 2'000.- (art. 61 let. g LPGA). La procédure en matière d'octroi de prestations de l'assurance-invalidité n'étant pas gratuite (art. 69 al. 1bis LAI), l'intimé supporte l'émolument de procédure de CHF 200.-.</w:t>
      </w:r>
    </w:p>
    <w:p>
      <w:r>
        <w:t>A/282/2019 - 30/30 -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