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ATAS/326/2018 vom 17. April 2018</w:t>
      </w:r>
    </w:p>
    <w:p>
      <w:r>
        <w:t>GE Cour de justice, 2018-04-17, FR</w:t>
      </w:r>
    </w:p>
    <w:p>
      <w:r>
        <w:rPr>
          <w:b/>
        </w:rPr>
        <w:t xml:space="preserve">Quelle: </w:t>
      </w:r>
      <w:r>
        <w:t>https://mcp.opencaselaw.ch/entscheid/ge_gerichte_ATAS_326_2018</w:t>
      </w:r>
    </w:p>
    <w:p>
      <w:r>
        <w:t>FR: GE_GERICHTE ATAS/326/2018 du 17 avril 2018</w:t>
      </w:r>
    </w:p>
    <w:p>
      <w:r>
        <w:t>IT: GE_GERICHTE ATAS/326/2018 del 17 aprile 2018</w:t>
      </w:r>
    </w:p>
    <w:p>
      <w:pPr>
        <w:pStyle w:val="Heading2"/>
      </w:pPr>
      <w:r>
        <w:t>Erwägungen</w:t>
      </w:r>
    </w:p>
    <w:p>
      <w:r>
        <w:rPr>
          <w:b/>
        </w:rPr>
        <w:t>E. 32</w:t>
      </w:r>
    </w:p>
    <w:p>
      <w:r>
        <w:t>Sur demande de l’OAI, le SMR s’est prononcé sur la prise en considération de l’obésité et du déconditionnement musculaire et a considéré qu’il ne s’agissait pas d’atteintes à la santé reconnues comme étant incapacitantes.</w:t>
      </w:r>
    </w:p>
    <w:p>
      <w:r>
        <w:t>A/2270/2017 - 9/19 -</w:t>
      </w:r>
    </w:p>
    <w:p>
      <w:r>
        <w:rPr>
          <w:b/>
        </w:rPr>
        <w:t>E. 33</w:t>
      </w:r>
    </w:p>
    <w:p>
      <w:r>
        <w:t>Le 11 avril 2017, après avoir procédé à une nouvelle comparaison des revenus, l’OAI a confirmé son projet de décision du 1er novembre 2016, toutefois par substitution de motifs. Considérant que l’assurée exerçait, avant l’atteinte, une activité principale de gouvernante à temps complet et une activité accessoire de concierge, l’OAI a procédé à une comparaison des revenus, en prenant en considération une activité adaptée. Ce faisant, l’OAI est arrivé à la conclusion que le degré d’invalidité était de 27%, ce qui était insuffisant pour lui donner droit au versement d’une rente d’invalidité.</w:t>
      </w:r>
    </w:p>
    <w:p>
      <w:r>
        <w:rPr>
          <w:b/>
        </w:rPr>
        <w:t>E. 34</w:t>
      </w:r>
    </w:p>
    <w:p>
      <w:r>
        <w:t>Par écriture du 23 mai 2017, l’assurée (ci-après : la recourante), sous la plume de son conseil, a interjeté recours, concluant, préalablement, à la mise en œuvre d’une expertise pluridisciplinaire et, cela fait, principalement, à l’annulation de la décision querellée et à l’octroi d’une rente entière dès le 7 mai 2014. À l’appui de ses conclusions, la recourante a notamment contesté la valeur probante de l’expertise de l’expertise du Dr L_____ pour les motifs suivants : le médecin précité n’avait pas pris en compte l’entier de la problématique, compte tenu de l’insuffisance des radiographies mises à sa disposition ; l’expert faisait totalement abstraction du déficit psychiatrique ainsi que de la problématique de l’obésité et du déconditionnement musculaire, mais il admettait que ses problèmes de santé (gonarthrose notamment) ne pouvait autoriser une quelconque capacité de travail avant la mise en œuvre d’une réduction pondérale et d’un reconditionnement physique global et focal. En résumé, l’expertise posait plus de questions qu’elle n’en résolvait indépendamment du fait qu’elle était incomplète et insuffisante. En annexe à son recours, l’assurée a notamment produit un rapport du Dr J_____ du 5 mai 2017 dans lequel ce médecin sollicitait notamment une évaluation neuropsychologique avant toute décision définitive de l’OAI.</w:t>
      </w:r>
    </w:p>
    <w:p>
      <w:r>
        <w:rPr>
          <w:b/>
        </w:rPr>
        <w:t>E. 35</w:t>
      </w:r>
    </w:p>
    <w:p>
      <w:r>
        <w:t>L’OAI (ci-après : l’intimé) a répondu en date du 3 juillet 2017 et a conclu au rejet du recours, considérant que l’expertise du Dr L_____ était dotée d’une pleine valeur probante, dès lors qu’elle remplissait tous les réquisits jurisprudentiels y relatifs. Le rapport du Dr J_____, qui avait été soumis au SMR, ne modifiait en rien sa position dès lors que de l’aveu même de ce médecin, l’atteinte orthopédique et rhumatologique était prédominante, ce d’autant plus que dans son rapport du 22 décembre 2014, le médecin précité renvoyait au médecin orthopédiste et rhumatologue pour se prononcer sur la capacité de travail. Enfin, comme le relevait le SMR dans son avis du 16 juin 2017, la capacité de travail dans l’activité habituelle était de 50% (et non de 70%), ce afin de tenir compte de l’existence des lombalgies sur troubles dégénératifs du rachis. La prise en considération d’une capacité de travail de 50% ne modifiait toutefois pas ses conclusions.</w:t>
      </w:r>
    </w:p>
    <w:p>
      <w:r>
        <w:rPr>
          <w:b/>
        </w:rPr>
        <w:t>E. 36</w:t>
      </w:r>
    </w:p>
    <w:p>
      <w:r>
        <w:t>Par réplique du 16 août 2017, la recourante a transmis à la chambre de céans un rapport du Dr J_____, daté du 9 août 2017 et a persisté dans ses conclusions pour les motifs suivants. Le Dr L_____ était un bon clinicien mais il n’avait pas d’expérience en matière de médecine du travail. Elle se trouvait dans un cercle vicieux, dès lors que son atteinte à l’épaule droite était à l’origine de son trouble</w:t>
      </w:r>
    </w:p>
    <w:p>
      <w:r>
        <w:t>A/2270/2017 - 10/19 - dépressif. Il était dès lors nécessaire de procéder à une évaluation neuropsychologique. L’OAI n’avait pas investigué l’aspect psychique de son atteinte. En outre, les limitations fonctionnelles justifiaient un abattement d’au moins 25% de sa capacité de gain par rapport au travailleur jouissant d’une pleine capacité de travail. Dans ces circonstances, il paraissait plus judicieux de lui octroyer une rente entière et de ne pas mettre en œuvre des mesures de réadaptation et de reconditionnement, lesquelles étaient vraisemblablement plus onéreuses que la rente qu’elle pourrait recevoir. En annexe figurait un rapport du Dr J_____ daté du 9 août 2017, qui se prononçait sur l’avis du SMR du 15 juin 2017. Pour ce médecin, c’était l’atteinte orthopédique qui déterminait l’incapacité de travail en tenant compte des limitations fonctionnelles et des capacités mnésiques et cognitives.</w:t>
      </w:r>
    </w:p>
    <w:p>
      <w:r>
        <w:rPr>
          <w:b/>
        </w:rPr>
        <w:t>E. 37</w:t>
      </w:r>
    </w:p>
    <w:p>
      <w:r>
        <w:t>L’intimé a dupliqué en date du 14 septembre 2017 et a produit un avis du SMR du 7 septembre 2017, dont il ressort que le Dr J_____ n’apportait aucun élément objectif nouveau permettant de modifier l’appréciation du cas, notamment aucune aggravation de l’état psychique depuis sa prise en charge dès 2008. Au contraire, ce médecin faisait état d’une amélioration de l’état psychique de la recourante. S’agissant de l’obésité, force était de constater que les limitations fonctionnelles qui y étaient liées avaient été prises en considération. Par ailleurs, pour le Dr L_____, une réduction pondérale et un reconditionnement physique étaient raisonnablement et médicalement exigibles. Dans ces circonstances, il convenait de retenir une capacité de travail de 50% dans l’ancienne activité et de 100% dans une activité adaptée. Enfin, l’abattement de 25% sollicité par la recourante n’ouvrirait quoi qu’il en soit pas le droit à une rente.</w:t>
      </w:r>
    </w:p>
    <w:p>
      <w:r>
        <w:rPr>
          <w:b/>
        </w:rPr>
        <w:t>E. 38</w:t>
      </w:r>
    </w:p>
    <w:p>
      <w:r>
        <w:t>La duplique du 14 septembre 2017 a été transmise à la recourante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A/2270/2017 - 11/19 - modification du point de vue de leur contenu, de sorte que la jurisprudence développée à leur propos peut être reprise et appliquée (ATF 130 V 343 consid. 3). 3. Le recours a été interjeté en temps utile, compte tenu de la suspension du délai du 7ème jour avant Pâques au 7ème jour après Pâques, tombé en 2017 sur le dimanche 16 avril (art. 38 al. 4 let. a et 60 LPGA), et il satisfait aux exigences de forme et de contenu prescrites par la loi (art. 61 let. b LPGA ; cf. aussi art. 89B LPA). 4. À titre liminaire, il y a lieu de préciser l’objet du litige. Entre avril 2004 et octobre 2010, la recourante a formellement déposé trois demandes de prestations d’invalidité, toutes rejetées par l’OAI, la dernière en date du 4 juin 2012. Suite au recours de l’assurée, la chambre de céans a, par arrêt du 20 novembre 2012, confirmé la décision du 4 juin 2012, tout en renvoyant la cause à l’OAI, à sa demande, pour examen des mesures de réadaptation professionnelle. En raison des interventions chirurgicales, l’OAI a considéré que des mesures d’ordre professionnel n’étaient pas adaptées (cf. rapport de réadaptation professionnelle du 26 juillet 2013) et a repris l’instruction sur le plan médical. En d’autres termes, en juillet 2013, l’OAI a considéré que la recourante avait formé une nouvelle demande en raison d’une aggravation de son état de santé. Dans la mesure où l’intimé ne s’est pas contenté de rassembler des rapports des médecins traitants, mais qu’il a également suggéré la réalisation d’une expertise, confiée au Dr BOUVIER, il doit être considéré que l’OAI est entré en matière sur la nouvelle demande de la recourante. Le litige porte ainsi sur le point de savoir si l’intimé était fondé à rejeter la nouvelle demande de prestations de la recourante formulée en 2013. Concrètement, le litige concerne l’existence d’une aggravation de l’état de santé de la recourante entre juillet 2012 (rejet de la précédente demande de prestations) et avril 2017 (rejet de la nouvelle demande de prestations). 5.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w:t>
      </w:r>
    </w:p>
    <w:p>
      <w:r>
        <w:t>A/2270/2017 - 12/19 - b.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S'il est vrai que l'obésité en soi n'est pas constitutive d'invalidité, celle-ci doit toutefois être admise, selon la jurisprudence, si l'excédent de poids a provoqué une</w:t>
      </w:r>
    </w:p>
    <w:p>
      <w:r>
        <w:t>A/2270/2017 - 13/19 - atteinte à la santé ou s'il est lui-même la conséquence d'un trouble de la santé et qu'ainsi, la capacité de gain est sensiblement réduite et ne peut être augmentée de façon importante par des mesures raisonnablement exigibles (arrêt du Tribunal fédéral 9C_48/2009 consid. 2.3 ; voir également RCC 1984 p. 359 consid. 3)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voir également arrêts du Tribunal fédéral 9C_146/2015 du 19 janvier 2016 consid. 3.2 et 9C_13/2016 du 14 avril 2016 consid. 4.2). Cette jurisprudence a pour corollaire qu'une évaluation médicale portant sur le caractère invalidant de troubles de la</w:t>
      </w:r>
    </w:p>
    <w:p>
      <w:r>
        <w:t>A/2270/2017 - 14/19 -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w:t>
      </w:r>
    </w:p>
    <w:p>
      <w:r>
        <w:t>A/2270/2017 - 15/19 - le juge ne saurait les écarter aussi longtemps qu'aucun indice concret ne permet de douter de leur bien-fondé (ATF 125 V 351 consid. 3b/bb).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A/2270/2017 - 16/19 -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2012, l’OAI a rejeté la demande de prestations en se fondant sur le rapport d’examen établi le 11 janvier 2012 par les Drs F_____ et G_____, médecins auprès du SMR, lesquels avaient notamment retenu les diagnostics suivants : omalgies bilatérales chroniques sur pathologie dégénérative de la coiffe des rotateurs bilatérale, status après réinsertion de la coiffe et acromioplastie de l'épaule droite en 2006, status après réinsertion de la coiffe des rotateurs et acromioplastie gauche en 2010 ; lombalgies mécaniques dans un contexte de troubles dégénératifs mineurs débutants (avec effet sur la capacité de travail) et de trouble dépressif récurrent, épisode actuel moyen sans syndrome somatique, majoration de symptômes physiques pour des raisons psychologiques ; surcharge pondérale avec obésité de classe 1, BMI à 34 ; déconditionnement musculaire global et focal avec dysbalance et un genu vara bilatéral (sans répercussion sur la capacité de travail). En raison de ces atteintes, l'activité habituelle de gouvernante ou de femme de ménage ne pouvait être exercée à un taux supérieur à 50%. En revanche, toute forme d'activité respectant de façon stricte les limitations fonctionnelles était possible sur le plan médico-théorique à un taux de 100%, sans diminution de rendement. Les limitations fonctionnelles auxquelles le rhumatologue faisait référence étaient alors les suivantes : pas de port de charges supérieures à 2,5 kg de façon répétitive au niveau des membres supérieurs et occasionnellement au-delà de 7,5 kg ; pas d’activité en antépulsion ou en abduction au-delà de 60° de manière répétitive et occasionnelle au-delà de 90° ; pas de positions statiques assises prolongées au-delà d’une heure sans possibilité de varier les positions au minimum une fois par heure, de préférence à la guise de l’assurée, pas de position en porte-à-faux ou en antéflexion du rachis contre résistance, pas d’activité en hauteur ni en terrain instable et pas d’exposition à des températures froides ou à l’humidité. Du point de vue psychiatrique, l'épisode dépressif actuel moyen, sans syndrome somatique, était en lui-même non-incapacitant, de sorte qu'aucun élément probant, anamnestique ou clinique ne permettait de retenir une quelconque période d'incapacité de travail pour raisons psychiatriques, à quelque période de la vie de l'assurée que ce soit.</w:t>
      </w:r>
    </w:p>
    <w:p>
      <w:r>
        <w:t>A/2270/2017 - 17/19 - Saisie d’un recours, la chambre de céans a considéré que le rapport du SMR était doté d’une pleine valeur probante et que les observations des médecins traitants ne permettaient pas de s’en écarter. b. Lors de la décision querellée, en avril 2017, l’intimé s’est fondé sur le rapport établi, le 4 mars 2016, par le Dr L_____. Si le rapport de ce médecin répond à certains réquisits jurisprudentiels (anamnèse, résumé du dossier médical), il n’est pas motivé sur certains points, comporte des incohérences, des contradictions et ne semble pas être fondé sur des investigations complètes. Ainsi :  L’expert ne décrit tout d’abord que très succinctement les plaintes de la recourante, les résumant de la manière suivante : « l’assurée se plaint de douleurs au genou droit, du bras gauche et du dos ». On ne sait pas s’il s’agit de douleurs constantes ou mécaniques. S’agissant des douleurs au dos, on ne sait pas si elles concernent le rachis lombaire ou cervical, des atteintes à ces deux segments ayant été évoquées par les médecins.  Alors même que la recourante se plaint de douleurs au dos et que des lombalgies mécaniques dans un contexte de troubles dégénératifs mineurs débutants avaient été retenues par les médecins du SMR dans leur rapport du 11 janvier 2012, le Dr L_____ n’a pas mentionné cette atteinte dans sonr apport d’expertise, au motif que la recourante ne lui aurait pas fourni les rapports médicaux nécessaires. Or, force est de constater que l’expert a lui-même fait état de facettes algiques lors de la palpation. Il est dès lors étonnant qu’il n’ait pas jugé nécessaire de procéder à des examens radiologiques complémentaires afin de préciser son diagnostic, ce d’autant plus que le rapport que la recourante aurait dû fournir datait de 2009 et que le temps écoulé justifiait à lui seul une nouvelle radiographie.  Le Dr L_____ a modifié la liste des limitations fonctionnelles, en assouplissant certaines, sans fournir la moindre explication à ce sujet. En effet, alors que les médecins du SMR limitaient le port de charges à 2,5 kg de façon répétitive et à 7,5 kg occasionnellement, le Dr L_____, a considéré que de manière générale, le port de charge de plus de 5 kg était à proscrire. Les médecins du SMR ont également limité la position statique assise à une heure consécutive alors que le Dr L_____ n’a pas évoqué ce type de limitations fonctionnelles.  Enfin et dans tous les cas, dans la mesure où le SMR a modifié les conclusions du Dr L_____ en ce qui concerne l’appréciation de la capacité de travail, la réduisant à 50% (et non 70%) par avis du 16 juin 2017 (« après relecture du dossier médical, il convient de modifier notre avis du 6 juin 2016 dans le sens où l’assurée a une capacité de travail de 50% dans son activité habituelle et non de 70%, ceci afin de tenir compte de l’existence des lombalgies sur troubles</w:t>
      </w:r>
    </w:p>
    <w:p>
      <w:r>
        <w:t>A/2270/2017 - 18/19 - dégénératifs du rachis »), le rapport du 4 mars 2016 du Dr L_____ ne saurait se voir reconnaître une pleine valeur probante pour ce motif déjà. Dans tous les cas, indépendamment de l’avis du SMR, il paraît surprenant que la recourante puisse encore exercer ses activités habituelles à 70% (gouvernante) et 100% (concierge) alors que les limitations fonctionnelles retenues par le Dr L_____ interdisent notamment la position debout pendant plusieurs heures ou la montée fréquente d’escaliers. Or, à l’évidence, l’activité de gouvernante ou de concierge requiert majoritairement la position debout, ainsi que, en fonction de l’immeuble dans lequel travaille la recourante, la montée d’escaliers. c. Il découle de ce qui précède que la chambre de céans n’est pas en mesure d’apprécier les répercussions de l’aggravation de l’atteinte et des limitations fonctionnelles sur la capacité de travail de la recourante et, par conséquent, de déterminer le degré d’invalidité en résultant faute de rapport probant au dossier. Conscient des carences du rapport du Dr L_____, le SMR a revu sa position à un stade de la procédure où l’intimé pouvait encore reconsidérer sa décision. En pareilles circonstances, il n’appartient pas au juge de suppléer aux carences administratives, de sorte que le dossier sera renvoyé à l’intimé pour instruction complémentaire sous la forme d’une expertise sur la question de l’aggravation de l’état de santé de la recourante et ses répercussions sur la capacité de travail. Dans ce contexte, il appartiendra notamment au médecin mandaté de déterminer si l'excédent de poids de la recourante a provoqué une atteinte à la santé ou s'il est lui- même la conséquence d'un trouble de la santé et qu'ainsi, la capacité de gain est sensiblement réduite et ne peut être augmentée de façon importante par des mesures raisonnablement exigibles (voir supra consid. 7b). Enfin, sur le plan psychique, il ne ressort pas du dossier que l’ensemble des thérapies – ambulatoires et stationnaires – médicalement indiquées et réalisées selon les règles de l’art, avec une coopération optimale de la recourante, aient échoué. Partant, l’expertise ne devra pas comporter un volet psychiatrique. 12. Au vu de ce qui précède, le recours sera partiellement admis et la décision du 11 avril 2017 sera annulée. La cause sera renvoyée à l’intimé pour instruction complémentaire au sens des considérants.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A/2270/2017 - 19/19 -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