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ATAS/325/2021 vom 12. April 2021</w:t>
      </w:r>
    </w:p>
    <w:p>
      <w:r>
        <w:t>GE Cour de justice, 2021-04-12, FR</w:t>
      </w:r>
    </w:p>
    <w:p>
      <w:r>
        <w:rPr>
          <w:b/>
        </w:rPr>
        <w:t xml:space="preserve">Quelle: </w:t>
      </w:r>
      <w:r>
        <w:t>https://mcp.opencaselaw.ch/entscheid/ge_gerichte_ATAS_325_2021</w:t>
      </w:r>
    </w:p>
    <w:p>
      <w:r>
        <w:t>FR: GE_GERICHTE ATAS/325/2021 du 12 avril 2021</w:t>
      </w:r>
    </w:p>
    <w:p>
      <w:r>
        <w:t>IT: GE_GERICHTE ATAS/325/2021 del 12 aprile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En tant qu’elle porte sur la restitution de prestations (PC, subsides d’assurance- maladie et frais médicaux) perçues à tort entre le 1er janvier 2014 et le 31 janvier 2020 et entre le 1er janvier 2020 et le 30 juin 2020 (subsides d’assurance-maladie) d’une part, et le droit aux prestations complémentaires du 1er janvier 2020 au 30 juin 2020 d’autre part, soit une période antérieure à l’entrée en vigueur, le 1er janvier 2021, des modifications des 22 mars, 20 décembre 2019 et 14 octobre 2020, la décision attaquée est soumise à l’ancien droit, en l’absence de dispositions transitoires prévoyant une application rétroactive du nouveau droit. Les dispositions légales pertinentes seront donc citées, ci-après, dans leur teneur en vigueur jusqu’au 31 décembre 2020.</w:t>
      </w:r>
    </w:p>
    <w:p>
      <w:r>
        <w:t>A/3735/2020 - 10/24 -</w:t>
      </w:r>
    </w:p>
    <w:p>
      <w:r>
        <w:rPr>
          <w:b/>
        </w:rPr>
        <w:t>E. 5</w:t>
      </w:r>
    </w:p>
    <w:p>
      <w:r>
        <w:t>En matière de prestations complémentaires fédérales, les décisions sur opposition sont sujettes à recours dans un délai de 30 jours (art. 56 al. 1 et 60 al. 1 LPGA ; cf. également l’art. 9 de la loi cantonale sur les prestations fédérales complémentaires à l’assurance-vieillesse et survivants et à l’assurance-invalidité, du 14 octobre 1965 LPFC – J 4 20) auprès du tribunal des assurances du canton de domicile de l’assuré (art. 58 al. 1 LPGA). S’agissant des prestations complémentaires cantonales, l’art. 43 LPCC ouvre la même voie de droit. Posté le 11 novembre 2019 contre la décision litigieuse du 14 octobre 2020, notifiée le lendemain, le recours a été interjeté en temps utile. Le recours satisfait, en outre, aux exigences de forme et de contenu prévues par l’art. 61 let. b LPGA. Il est par conséquent recevable.</w:t>
      </w:r>
    </w:p>
    <w:p>
      <w:r>
        <w:rPr>
          <w:b/>
        </w:rPr>
        <w:t>E. 6</w:t>
      </w:r>
    </w:p>
    <w:p>
      <w:r>
        <w:t>a. À titre liminaire, le recourant se plaint d’une violation de son droit d’être entendu, dans la mesure où l’intimé refuserait, par la décision attaquée, de procéder à un nouvel examen du cas pour la simple raison « qu’aucun élément ne permet de remettre en cause la valeur probante de cette estimation », assertion qui ne motiverait pas en quoi l’étude comparative de marché de RE/MAX Portugal serait suffisamment probante pour fonder ladite décision. b. Ce grief, de nature formelle, doit être examiné en premier lieu (ATF 127 V 431 consid. 3d/aa; ATF 124 V 90 consid. 2 notamment).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arrêt du Tribunal fédéral 8C_414/2015 du 29 mars 2016 consid. 2.3). c. En l’occurrence, la violation du droit d’être entendu dans le sens invoqué par le recourant est une question qui n’a pas de portée propre par rapport au grief tiré d’une mauvaise appréciation des preuves (cf. arrêt du Tribunal fédéral 9C_449/2007 du 28 juillet 2008 consid. 2.1). L’administration ou le juge peuvent en effet renoncer à accomplir certains actes d’instruction, sans que cela n’entraîne une violation du devoir d’administrer les preuves nécessaires ou plus généralement</w:t>
      </w:r>
    </w:p>
    <w:p>
      <w:r>
        <w:t>A/3735/2020 - 11/24 - une violation du droit d’être entendu, s’ils sont convaincus, en se fondant sur une appréciation consciencieuse des preuves, que certains faits présentent un degré de vraisemblance prépondérante et que d’autres mesures probatoires ne pourraient plus modifier cette appréciation (arrêt du Tribunal fédéral 8C_229/2016 du 9 novembre 2016 consid. 4.1 et les arrêts cités). Une telle manière de procéder – qui fera de toute manière l’objet d’un examen approfondi (ci-après : consid. 19a) – ne viole pas le droit d’être entendu selon l’art. 29 al. 2 Cst. (arrêt du Tribunal fédéral des assurances I 157/04 du 22 décembre 2004 consid. 1.2). Aussi le grief tiré d’une violation de ce droit ne peut-il être que rejeté. Il s’ensuit qu’il y a lieu de se pencher sur le fond du litige.</w:t>
      </w:r>
    </w:p>
    <w:p>
      <w:r>
        <w:rPr>
          <w:b/>
        </w:rPr>
        <w:t>E. 7</w:t>
      </w:r>
    </w:p>
    <w:p>
      <w:r>
        <w:t>Le litige porte sur le droit de l’intimé de réclamer au recourant la restitution de la totalité des prestations complémentaires, subsides d’assurance-maladie et frais médicaux qu’il lui a octroyées du 1er janvier 2014 au 30 juin 2020 d’une part, et le droit de celui-ci aux prestations complémentaires du 1er janvier 2020 au 30 juin 2020 d’autre part ; la question litigieuse porte plus particulièrement sur la valeur de la propriété immobilière sise à Amora (Portugal), dont l’existence n’a été révélée à l’intimé qu’en janvier 2020.</w:t>
      </w:r>
    </w:p>
    <w:p>
      <w:r>
        <w:rPr>
          <w:b/>
        </w:rPr>
        <w:t>E. 8</w:t>
      </w:r>
    </w:p>
    <w:p>
      <w:r>
        <w:t>LPC ont droit à des prestations complémentaires. Ont ainsi droit aux prestations complémentaires notamment les personnes qui ont droit à une rente de l’assurance- vieillesse survivants (art.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w:t>
      </w:r>
    </w:p>
    <w:p>
      <w:r>
        <w:rPr>
          <w:b/>
        </w:rPr>
        <w:t>E. 9</w:t>
      </w:r>
    </w:p>
    <w:p>
      <w:r>
        <w:t>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et CHF 60’000.- pour les couples; si le bénéficiaire de prestations complémentaires ou une autre personne comprise dans le calcul de ces prestations est propriétaire d’un immeuble qui sert d’habitation à l’une de ces personnes au moins, seule la</w:t>
      </w:r>
    </w:p>
    <w:p>
      <w:r>
        <w:t>A/3735/2020 - 12/24 - valeur de l’immeuble supérieure à CHF 112’500 francs entre en considération au titre de la fortune.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L’art. 17 al. 4 OPC-AVS/AI constitue une dérogation au principe selon lequel la fortune prise en compte doit être évaluée selon les règles de la législation sur l’impôt cantonal direct du canton du domicile (Erwin CARIGIET, Uwe KOCH, Ergänzungsleistungen zur AHV/IV, 2ème éd. 2009 p. 167-168). Dans ses commentaires concernant la modification de l’OPC-AVS/AI entrée en vigueur le 1er janvier 1992, l’OFAS a relevé à propos de l’art. 17 al. 4 OPC- 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ch. 3444.03 des Directives concernant les prestations complémentaires à l’AVS et à l’AI [DPC]).</w:t>
      </w:r>
    </w:p>
    <w:p>
      <w:r>
        <w:rPr>
          <w:b/>
        </w:rPr>
        <w:t>E. 10</w:t>
      </w:r>
    </w:p>
    <w:p>
      <w:r>
        <w:t>a. 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w:t>
      </w:r>
    </w:p>
    <w:p>
      <w:r>
        <w:t>A/3735/2020 - 13/24 - corrélation directe entre cette renonciation et une contre-prestation considérée comme équivalente (arrêt du Tribunal fédéral 9C_36/2014 du 7 avril 2014 consid. 3.1). En ce qui concerne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(cf. ATAS/306/2020 du 27 avril 2020 consid. 6 et les nombreux arrêts cités). En outre, la chambre de céans a également considéré qu’un taux de 5% était admissible (ATAS/1127/2017 du 11 décembre 2017). b. Dans un arrêt du 16 avril 2019, le Tribunal fédéral, statuant sur le recours interjeté contre un arrêt du Tribunal cantonal du canton de Vaud du 25 septembre 2018 (PC 1/17 – 9/2018) – lequel avait retenu, à l’image de l’autorité vaudoise intimée, un taux de 5% de la valeur du bien à titre de valeur locative – a considéré que le montant qui devait en principe être pris en considération à titre de loyer lorsqu’un immeuble est vide alors même qu’une location serait possible était le loyer usuellement pratiqué dans la région ou, autrement dit, un loyer conforme à la loi du marché (ch. 3433.03 DPC ; arrêt du Tribunal fédéral des assurances P 33/05 du 8 novembre 2005 consid. 4). À cet égard, le Tribunal fédéral a précisé qu’en n’entreprenant aucune démarche pour déterminer le loyer que pourrait effectivement obtenir l’assuré, la caisse intimée et les premiers juges avaient manqué à leur devoir respectif d’instruire la question des loyers usuels dans la</w:t>
      </w:r>
    </w:p>
    <w:p>
      <w:r>
        <w:t>A/3735/2020 - 14/24 - région tunisienne du lieu de situation du bien, alors qu’il leur aurait appartenu de le faire, au besoin en demandant la participation de l’assuré, avant de mettre en application une autre méthode, soit le taux de 5% de la valeur du bien (cf. arrêt du Tribunal fédéral 9C_751/2018 du 16 avril 2019 consid. 7.2).</w:t>
      </w:r>
    </w:p>
    <w:p>
      <w:r>
        <w:rPr>
          <w:b/>
        </w:rPr>
        <w:t>E. 11</w:t>
      </w:r>
    </w:p>
    <w:p>
      <w:r>
        <w:t>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si l’âge du bâtiment au début de la période fiscale est inférieur ou égal à 10 ans, et à 20%, si l’âge du bâtiment au début de la période fiscale est supérieur à 10 ans. Cette déduction s’applique même si la personne n’habite pas le bien immobilier dont elle est propriétaire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(ATAS/1122/2013 du 19 novembre 2013 consid. 16b).</w:t>
      </w:r>
    </w:p>
    <w:p>
      <w:r>
        <w:rPr>
          <w:b/>
        </w:rPr>
        <w:t>E. 12</w:t>
      </w:r>
    </w:p>
    <w:p>
      <w:r>
        <w:t>S’agissant du taux de conversion applicable pour le calcul de la fortune immobilière et de la valeur locative y relative, il y a lieu d’appliquer les DPC. Le chiffre 2087.1 des DPC prévoyait dans sa version 2010, que pour les rentes et pensions versées en devises d’États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(JOUE). Le cours de conversion applicable était le cours déterminant du début de l’année correspondante. Depuis le 1er janvier 2013, le taux de conversion, selon le chiffre 3452.01 DPC, correspond au cours du jour fixé par la Banque centrale européenne. À cet égard, est déterminant le dernier cours du jour disponible du mois qui précède immédiatement le début du droit à la prestation.</w:t>
      </w:r>
    </w:p>
    <w:p>
      <w:r>
        <w:t>A/3735/2020 - 15/24 - Bien que ces directives concernent les rentes servies, elles sont applicables par analogie aux autres éléments composant les revenus déterminants tels que la fortune immobilière (cf. notamment ATAS/1146/2019 du 9 décembre 2019).</w:t>
      </w:r>
    </w:p>
    <w:p>
      <w:r>
        <w:rPr>
          <w:b/>
        </w:rPr>
        <w:t>E. 13</w:t>
      </w:r>
    </w:p>
    <w:p>
      <w:r>
        <w:t>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d’un cinquième pour les bénéficiaires de rente de vieillesse (art. 5 let. c LPCC).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14</w:t>
      </w:r>
    </w:p>
    <w:p>
      <w:r>
        <w:t>Il convient à présent d’examiner si l’intimé a respecté les délais de péremption légaux. a. S’agissant des prestations complémentaires fédérales, l’art. 25 LPGA prescrit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niveau cantonal, l’art. 24 al. 1, 1ère phrase LPCC prévoit que les prestations indûment touchées doivent être restituées. Selon l’art. 28 LPCC, le délai de prescription est également d’un an dès la connaissance du fait, mais au plus tard cinq ans après le versement de la prestation. La LPCC ne prescrit pas que, si la créance naît d’un acte punissable pour lequel le droit pénal prévoit un délai de prescription plus long, celui-ci est déterminant. Toutefois, l’art. 25 al. 2 LPGA s’applique dans le silence de la loi en vertu de l’art. 1A al. 1 let. b LPCC. b. Selon la jurisprudence, une demande de restitution implique que soient réunies les conditions d’une reconsidération (cf. art. 53 al. 2 LPGA) ou d’une révision</w:t>
      </w:r>
    </w:p>
    <w:p>
      <w:r>
        <w:t>A/3735/2020 - 16/24 -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d.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C.271/04 du 21 mars 2006 consid. 2.5). À cet égard, la date de la remise de l’acte conservatoire au bureau de poste fait foi (cf. ATF 119 V 89 consid. 4c).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w:t>
      </w:r>
    </w:p>
    <w:p>
      <w:r>
        <w:rPr>
          <w:b/>
        </w:rPr>
        <w:t>E. 15</w:t>
      </w:r>
    </w:p>
    <w:p>
      <w:r>
        <w:t>a. Lorsqu’il statue sur la créance de l’administration en restitution de prestations complémentaires fédérales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2012 ; ATAS/3/2012 du 10 janvier 2012). Pour que le délai de prescription plus long prévu par le droit pénal s’applique, il n’est pas nécessaire que l’auteur de l’infraction ait été condamné (ATF 118 V 193 consid. 4a ; 113 V 256 consid. 4a ; voir également ATF 122 III 225 consid. 4). b. Dans le domaine des prestations complémentaires, ce sont principalement les art. 31 LPC, 92 LAMAL et 146 du Code pénal suisse du 21 décembre 1937 (CP ; RS 311.0) ainsi que l’art. 148a CP, depuis son entrée en vigueur en date du 1er octobre 2016, qui entrent en considération lorsqu’il y a lieu de déterminer si le délai pénal doit trouver application.</w:t>
      </w:r>
    </w:p>
    <w:p>
      <w:r>
        <w:t>A/3735/2020 - 17/24 -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dol éventuel au sens de l’art. 12 al. 2, 2ème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w:t>
      </w:r>
    </w:p>
    <w:p>
      <w:r>
        <w:t>A/3735/2020 - 18/24 -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c.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w:t>
      </w:r>
    </w:p>
    <w:p>
      <w:r>
        <w:t>A/3735/2020 - 19/24 - d.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 e. Selon l’art. 97 al. 1 CP, dans sa teneur en vigueur depuis le 1er janvier 2014, l’action pénale se prescrit par trente ans si l’infraction était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w:t>
      </w:r>
    </w:p>
    <w:p>
      <w:r>
        <w:rPr>
          <w:b/>
        </w:rPr>
        <w:t>E. 16</w:t>
      </w:r>
    </w:p>
    <w:p>
      <w:r>
        <w:t>En l’occurrence, la découverte de l’existence cachée du bien immobilier sis au Portugal constitue un fait nouveau autorisant l’intimé à réviser sa décision. En rendant quatre décisions de restitution, dont deux le 31 janvier 2020 et deux autres le 12 février 2020, soit moins de deux mois après avoir pris connaissance de ce bien, l’intimé a agi dans le délai relatif d’une année. Quant au délai de péremption de sept ans retenu par l’intimé, il ne peut qu’être confirmé. En effet, le recourant n’a pas donné à l’intimé toutes les informations sur sa fortune immobilière, alors même qu’il avait reçu chaque année, un document intitulé « communication importante », lui rappelant son obligation de renseigner l’intimé notamment sur l’augmentation ou la réduction des revenus et/ou de la fortune immobilière en Suisse et à l’étranger. Par ailleurs, l’obligation d’annoncer la totalité de sa fortune (y compris la propriété immobilière) ressortait déjà de façon claire du formulaire de demande de prestations que le recourant a complété de manière inexacte le 9 décembre 2013 en apposant la mention « néant » (cf. pièce 1, p. 3 intimé). Il s’ensuit qu’en renonçant à déclarer le bien immobilier sis au Portugal, le recourant s’est rendu coupable d’une violation des art. 31 al. 1 let. a et d LPC, chaque année, entre 2014 et 2019. L’intimé était ainsi en droit de recalculer le droit aux prestations de la recourante depuis le 1er janvier 2014. Reste à déterminer si le calcul effectué est correct.</w:t>
      </w:r>
    </w:p>
    <w:p>
      <w:r>
        <w:t>A/3735/2020 - 20/24 -</w:t>
      </w:r>
    </w:p>
    <w:p>
      <w:r>
        <w:rPr>
          <w:b/>
        </w:rPr>
        <w:t>E. 17</w:t>
      </w:r>
    </w:p>
    <w:p>
      <w:r>
        <w:t>Le recourant conteste la quotité de la restitution des prestations complémentaires, subsides d’assurance-maladie et frais médicaux octroyés du 1er janvier 2014 au 30 juin 2020 ainsi que son absence de droit aux prestations complémentaires pour la période du 1er janvier au 30 juin 2020, motif pris que l’estimation qu’il a fait réaliser par RE/MAX Portugal ne refléterait pas la valeur réelle du bien, de sorte qu’une « expertise plus approfondie » s’imposerait avant de recalculer le droit aux prestations complémentaires sur les périodes précitées.</w:t>
      </w:r>
    </w:p>
    <w:p>
      <w:r>
        <w:rPr>
          <w:b/>
        </w:rPr>
        <w:t>E. 18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c. Le Tribunal fédéral n’a pas établi de conditions de validité formelle auxquelles doivent satisfaire les expertises sur des biens immobiliers afin de se voir reconnaître valeur probante dans les litiges en matière d’assurances sociales (ATAS/191/2016 du 8 mars 2016 consid. 17; ATAS/251/2014 du 4 mars 2014 consid. 13c). La chambre de céans considère pour sa part qu’une évaluation par une agence immobilière peut se révéler suffisante du moment qu’elle permet de fixer la valeur vénale de l’immeuble (ATAS/40/2018 du 22 janvier 2018 consid. 10b et d). Dans l’arrêt 9C_540/2009 précité (ci-dessus: consid. 9 in fine), le Tribunal fédéral a considéré que même si dans l’espèce à juger, les informations sur la propriété tunisienne d’un assuré (bien immobilier comportant trois chambres, deux salles de bains et une grande salle à manger-salon) ne pouvaient être estimées avec</w:t>
      </w:r>
    </w:p>
    <w:p>
      <w:r>
        <w:t>A/3735/2020 - 21/24 - suffisamment de précision qu’en la comparant à des propriétés similaires, il n’en restait pas moins qu’hormis les dimensions du bien et le nombre de pièces, les critères décisifs étaient la localisation (raccordement au réseau routier, distance par rapport à la mer) et la qualité de vie (quartier calme ou bruyant, chic ou défavorisé). Par ailleurs, il importait également de savoir si le bien immobilier était destiné aux touristes ou plutôt aux habitants de la région, éventualité qui entrainait, le cas échéant, des standards d’aménagement inférieurs. Enfin, le Tribunal fédéral a estimé qu’il était douteux que des annonces parues sur internet, relatives à des biens offerts à la vente, constituaient une base fiable (arrêt du Tribunal fédéral 9C_540/2009 du 17 septembre 2009 consid. 5.2 et 5.3).</w:t>
      </w:r>
    </w:p>
    <w:p>
      <w:r>
        <w:rPr>
          <w:b/>
        </w:rPr>
        <w:t>E. 19</w:t>
      </w:r>
    </w:p>
    <w:p>
      <w:r>
        <w:t>a. En l’occurrence, il ressort de l’estimation effectuée par l’agence immobilière RE/MAX Portugal que le bien immobilier du recourant est un « T4 » présentant une surface brute de 203.8 m2 et qu’il est situé Rua ______, à Amora. Il est vrai que l’agence immobilière ne donne pas de plus amples informations sur ce bien. Cependant, celles qui ressortent déjà des images reproduites dans l’estimation et disponibles sur internet (Google Street View®) révèlent une maison individuelle d’apparence soignée, agrémentée d’un balcon au 1er étage et d’un petit jardin, bâtie sur une parcelle délimitée par des murs en maçonnerie et des grilles en fer forgé, qui est située dans un quartier résidentiel accueillant des constructions du même type, dégageant une atmosphère paisible et ne présentant aucune particularité visible (ni même alléguée) qui se répercuterait négativement sur la valeur du bien telle qu’elle ressort de l’estimation effectuée. Cette dernière apparaît certes un peu schématique en tant qu’elle se base sur un échantillon de quatre biens immobiliers distincts par année d’estimation, dont le point commun est d’être situés à Amora et d’avoir été vendus en 2014, respectivement 2015, 2016, 2017, 2018 et 2019, permettant ainsi de déterminer un prix moyen au m2 qui, appliqué à la propriété du recourant, atteste une augmentation de valeur de cette dernière de 28.91% entre 2014 et 2019 (en euros et sans égard aux variations dues au taux de change). Cela étant, à la différence de l’arrêt 9C_540/2009 précité, dans lequel des estimations divergentes avaient motivé le renvoi de la cause pour instruction complémentaire à la lumière des critères évoqués (ci-dessus : consid. 18c), le dossier du recourant ne comporte précisément pas deux estimations contradictoires entre elles, dont l’une remettrait sérieusement en cause celle sur laquelle se fonde la décision litigieuse. En outre, sachant que la valeur qu’atteindrait un immeuble au cours de transactions normales, est en règle générale nettement plus élevée que la valeur fiscale (cf. ci- dessus: consid. 9) et qu’en l’espèce, la valeur fiscale, calculée en 2018 par les autorités portugaises, atteignait même un montant légèrement plus élevé que celui ressortant de l’estimation effectuée par RE/MAX Portugal pour l’année 2018 (EUR 183’359.24 vs EUR 180’524.00), il n’existe en définitive aucun indice concret au dossier qui suggérerait une surévaluation du bien, ni entre 2014 et 2019, ni même en 2020. Par conséquent, la décision attaquée ne prête pas le flanc à la critique en tant qu’elle se fonde sur les conclusions de ladite estimation. On relèvera pour le surplus que les plans de calcul annexés à la décision de prestations</w:t>
      </w:r>
    </w:p>
    <w:p>
      <w:r>
        <w:t>A/3735/2020 - 22/24 - complémentaires du 31 janvier 2020 se réfèrent correctement au cours de change déterminant de la BCE, qui est applicable à la conversion en francs suisses de la valeur du bien estimée en euros (ci-dessus: consid 12). b. Quant aux autres éléments du calcul effectué par l’intimé, ils ne sont pas contestés par le recourant, et n’apparaissent pas non plus contestables au regard des pièces du dossier, à ceci près que les plans de calcul du 31 janvier 2020 révèlent, sous la rubrique « produit biens immobiliers », que l’intimé a appliqué d’office un taux de 4.5% à la valeur du bien pour en déterminer la valeur locative, sans instruire préalablement la question des loyers usuels dans la région d’Amora, et malgré le caractère lacunaire de l’estimation effectuée par RE/MAX Portugal à cet égard. Il est vrai que le montant qui doit en principe être pris en considération à titre de loyer lorsqu’un immeuble est vide alors même qu’une location serait possible est le loyer qui est usuellement pratiqué dans la région ou, autrement dit, un loyer conforme à la loi du marché (cf. l’arrêt 9C_751/2018 précité, consid. 7.2). Cependant, une annulation de la décision litigieuse et un renvoi pour instruction complémentaire sur ce point ne se justifie pas pour les motifs suivants : à l’examen des plans de calcul des 31 janvier 2020 et 22 juin 2020, il s’avère que le total des revenus déterminants dépasse le total des dépenses reconnues, au point que même en ne comptabilisant aucun produit du bien immobilier en 2014 et 2015 ainsi que du 1er janvier 2017 au 31 mars 2017, du 1er janvier 2018 au 31 mars 2019 et dès le 1er janvier 2020, le droit aux PCF/PCC demeurerait nul. Pour le surplus, il s’avère que même sur les périodes où la différence entre les dépenses reconnues et le revenu déterminant s’amenuise le plus (du 1er avril 2019 au 30 avril 2019 et du 1er juillet 2019 au 31 octobre 2019), une renaissance – très provisoire – du droit aux prestations complémentaires serait subordonnée à un loyer annuel usuel inférieur à CHF 6’749,94 (soit CHF 562.50 par mois), correspondant à une valeur locative de 3.195% (=CHF 6’749,94 x 100 / CHF 211'243.08). Or, un bref aperçu du marché pour des maisons à louer à Amora révèle, sur le site internet https://www.properstar.lu/portugal/amora/louer/maison, consulté lors de la rédaction du présent arrêt, une fourchette de prix comprise entre EUR 700.- par mois pour une maison de 2 pièces, d’une surface de 140m2 (plus petite et comptant moins de pièces que celle du recourant) à EUR 1’900.- par mois pour une villa de 5 pièces (dont 4 chambres) d’une surface de 237.19 m2. Dans ces circonstances, une estimation plus approfondie de la valeur locative du bien du recourant ne serait manifestement pas de nature à modifier l’absence de droit aux prestations telle qu’elle ressort des plans de calcul de l’intimé.</w:t>
      </w:r>
    </w:p>
    <w:p>
      <w:r>
        <w:rPr>
          <w:b/>
        </w:rPr>
        <w:t>E. 20</w:t>
      </w:r>
    </w:p>
    <w:p>
      <w:r>
        <w:t>Compte tenu de ce qui précède, le recours est rejeté. Représenté par un avocat mais n’obtenant pas gain de cause, le recourant n’a pas droit à des dépens (art. 61 let. g LPGA) ; art. 89H al. 3 de la loi sur la procédure administrative du 12 septembre 1985 – LPA; E 5 10 ; art. 6 du règlement sur les frais, émoluments et indemnités en procédure administrative du 30 juillet 1986 – RFPA ; E 5 10.03).</w:t>
      </w:r>
    </w:p>
    <w:p>
      <w:r>
        <w:t>A/3735/2020 - 23/24 - Pour le surplus, la procédure est gratuite.</w:t>
      </w:r>
    </w:p>
    <w:p>
      <w:r>
        <w:t>*****</w:t>
      </w:r>
    </w:p>
    <w:p>
      <w:r>
        <w:t>A/3735/2020 - 24/24 -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