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ATAS/325/2017 vom 18. April 2017</w:t>
      </w:r>
    </w:p>
    <w:p>
      <w:r>
        <w:t>GE Cour de justice, 2017-04-18, FR</w:t>
      </w:r>
    </w:p>
    <w:p>
      <w:r>
        <w:rPr>
          <w:b/>
        </w:rPr>
        <w:t xml:space="preserve">Quelle: </w:t>
      </w:r>
      <w:r>
        <w:t>https://mcp.opencaselaw.ch/entscheid/ge_gerichte_ATAS_325_2017</w:t>
      </w:r>
    </w:p>
    <w:p>
      <w:r>
        <w:t>FR: GE_GERICHTE ATAS/325/2017 du 18 avril 2017</w:t>
      </w:r>
    </w:p>
    <w:p>
      <w:r>
        <w:t>IT: GE_GERICHTE ATAS/325/2017 del 18 aprile 2017</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b.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w:t>
      </w:r>
    </w:p>
    <w:p>
      <w:r>
        <w:t>A/3282/2016 - 7/13 - 10 al. 1 let. b CPC), étant précisé que l’art. 17 al. 1 CPC consacre la possibilité d’une élection de for écrite. En l’occurrence, l’art. 56 des CGA prévoit qu’en cas de contestation découlant du contrat, le preneur d’assurance, respectivement l’assuré, a le choix entre le for de Lucerne, ou celui de son domicile en Suisse, ou celui de son lieu de travail. Le lieu de travail du demandeur se trouvant à Genève, la chambre de céans est compétente à raison du lieu pour connaître de la présente demande. c. La demande du 15 septembre 2016 doit donc être déclarée 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Le 1er novembre 2016, l’assuré a demandé le paiement d’allocations familiales pour son fils, D______, né le ______ 2005. Or, les ch. 5.1 et 5.2 des conditions générales d’assurance fixent l’objet de l’assurance comme suit : « Dans le cadre des dispositions ci-après et dans les limites des prestations fixées dans la police, ainsi que dans les éventuelles Conditions complémentaires d’assurance (CCA), l’assureur garantit une protection d’assurance pour les conséquences économiques engendrées par une incapacité de travail par suite de maladie et - si convenu - par suite d’accouchement et d’accident. L’assurance est une assurance de dommage ». Force est d’en conclure que les allocations familiales ne font pas partie du domaine de compétence de l’assureur, de sorte que la question ne peut être traitée dans le cadre du présent jugement. La demande est irrecevable sur ce point. Il appartiendra à l’assuré de s’adresser à la caisse d’allocations familiales compétente.</w:t>
      </w:r>
    </w:p>
    <w:p>
      <w:r>
        <w:rPr>
          <w:b/>
        </w:rPr>
        <w:t>E. 4</w:t>
      </w:r>
    </w:p>
    <w:p>
      <w:r>
        <w:t>Le litige ne porte ainsi que sur le droit du demandeur au paiement de l’entier des indemnités journalières du 6 septembre 2015 au 31 août 2016. Il est en effet rappelé que l’assureur avait partiellement fait droit aux conclusions du demandeur et lui avait versé l’intégralité des indemnités journalières demandées entre le 1er décembre 2014 et le 5 septembre 2015, soit le montant de CHF 20'798.20, ce dont la chambre de céans avait pris acte dans son arrêt du 22 mars 2016.</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w:t>
      </w:r>
    </w:p>
    <w:p>
      <w:r>
        <w:t>A/3282/2016 - 8/13 -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a. Il convient de distinguer deux périodes, celle allant jusqu’au 31 janvier 2016, et celle à compter de cette date. En effet, l’objet du litige et traité par la chambre de céans dans son arrêt du 22 mars 2016, portait sur le droit à des indemnités journalières du 6 septembre 2015 au 31 janvier 2016. b. Il y a lieu de rappeler s’agissant de la première période, que le 22 mars 2016, la chambre de céans, se fondant sur les conclusions de l’expertise du Dr C______ dont elle reconnaissait la valeur probante, avait considéré que c’était à bon droit que l’assureur avait réduit à 30% le montant des indemnités journalières dues à l’assuré et avait ainsi rejeté la demande de celui-ci sur ce point. Cet arrêt a certes fait l’objet d’un appel adressé par l’assuré au Tribunal fédéral, celui-ci l’a toutefois déclaré irrecevable pour défaut de motivation (arrêt du Tribunal fédéral 4A-203/2016 du 17 mai 2016). L’arrêt du 22 mars 2016 est, partant, entré en force de chose jugée, de sorte que la chambre de céans ne saurait se prononcer à nouveau sur le droit aux indemnités journalières de l’assuré pour la période du 6 septembre 2015 au 31 janvier 2016. La demande est irrecevable sur ce point.</w:t>
      </w:r>
    </w:p>
    <w:p>
      <w:r>
        <w:t>A/3282/2016 - 12/13 - c. S’agissant de la seconde période, celle allant au-delà du 31 janvier 2016, s’il est vrai que la Dresse B______ a continué à délivrer à l’assuré, chaque mois, des certificats médicaux attestant d’une incapacité de travail de 100%, ce jusqu’en août 2016, elle a toutefois indiqué, dans son rapport du 15 janvier 2016 adressé à l’OAI, qu’il pouvait reprendre une activité à temps partiel avec réorientation professionnelle, sa thymie s’étant améliorée. Le SMR a quant à lui confirmé le</w:t>
      </w:r>
    </w:p>
    <w:p>
      <w:r>
        <w:rPr>
          <w:b/>
        </w:rPr>
        <w:t>E. 11</w:t>
      </w:r>
    </w:p>
    <w:p>
      <w:r>
        <w:t>Pour le surplus, la procédure est gratuite (art. 114 let. e CPC).</w:t>
      </w:r>
    </w:p>
    <w:p>
      <w:r>
        <w:t>A/3282/2016 - 13/13 -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