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ATAS/325/2014 vom 19. März 2014</w:t>
      </w:r>
    </w:p>
    <w:p>
      <w:r>
        <w:t>GE Cour de justice, 2014-03-19, FR</w:t>
      </w:r>
    </w:p>
    <w:p>
      <w:r>
        <w:rPr>
          <w:b/>
        </w:rPr>
        <w:t xml:space="preserve">Quelle: </w:t>
      </w:r>
      <w:r>
        <w:t>https://mcp.opencaselaw.ch/entscheid/ge_gerichte_ATAS_325_2014</w:t>
      </w:r>
    </w:p>
    <w:p>
      <w:r>
        <w:t>FR: GE_GERICHTE ATAS/325/2014 du 19 mars 2014</w:t>
      </w:r>
    </w:p>
    <w:p>
      <w:r>
        <w:t>IT: GE_GERICHTE ATAS/325/2014 del 19 marzo 2014</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A/1919/2012 - 14/28 -</w:t>
      </w:r>
    </w:p>
    <w:p>
      <w:r>
        <w:rPr>
          <w:b/>
        </w:rPr>
        <w:t>E. 2.2</w:t>
      </w:r>
    </w:p>
    <w:p>
      <w:r>
        <w:t>et 2.3). Il convient de préciser que ces novelles introduites par la 5ème révision et la révision 6a de la LAI n'ont pas amené de modifications substantielles en matière d'évaluation du degré d'invalidité (ATFA non publié I 249/05 du 11 juillet 2006, consid. 2.1 et Message concernant la modification de la loi fédérale sur l'assurance- 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3</w:t>
      </w:r>
    </w:p>
    <w:p>
      <w:r>
        <w:t>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w:t>
      </w:r>
    </w:p>
    <w:p>
      <w:r>
        <w:rPr>
          <w:b/>
        </w:rPr>
        <w:t>E. 3.1</w:t>
      </w:r>
    </w:p>
    <w:p>
      <w:r>
        <w:t>et 8C_868/2010 du 6 septembre 2011 consid. 3.2).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w:t>
      </w:r>
    </w:p>
    <w:p>
      <w:r>
        <w:t>A/1919/2012 - 16/28 - modifier l'état de fait qui est à la base de l'arrêt entrepris et à conduire à un jugement différent en fonction d'une appréciation juridique correcte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(ATF 127 V 353 consid. 5b p. 358 et les références; arrêt 8C_868/2010 du 6 septembre 2011 consid. 3.2 et les références). b) En l’espèce, le recourant fonde sa demande de révision sur les conclusions de l’expertise judiciaire du 6 mai 2013. D’après ces conclusions, il aurait en effet dû se voir octroyer non seulement une rente entière d’invalidité du 1er décembre 2007 au 30 juin 2008, mais également une demi-rente d’invalidité du 1er juillet 2008 au 30 juin 2009. A ce propos, la Cour de céans relève que le complexe de fait à la base de la décision du 24 juillet 2008, confirmée par l’arrêt du TCAS du 31 mars 2009, n’a pas changé, aucun fait nouveau n’ayant été apporté. Au regard de la jurisprudence précitée, le seul fait que l’appréciation du cas du recourant par les experts judiciaires soit différente pour la période en cause ne constitue pas un motif de révision. La requête de révision, mal fondée, doit être rejetée.</w:t>
      </w:r>
    </w:p>
    <w:p>
      <w:r>
        <w:rPr>
          <w:b/>
        </w:rPr>
        <w:t>E. 4</w:t>
      </w:r>
    </w:p>
    <w:p>
      <w:r>
        <w:t>Interjeté dans les formes et le délai prescrits, le recours est recevable (art. 56 à 61 et 38 LPGA).</w:t>
      </w:r>
    </w:p>
    <w:p>
      <w:r>
        <w:rPr>
          <w:b/>
        </w:rPr>
        <w:t>E. 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la décision querellée a été rendue le 23 mai 2012. Dans ses observations du 20 janvier 2014, le recourant fait état d’une aggravation de ses douleurs due à une récidive de hernie discale L5-S1 gauche, intervenue le 19 novembre 2012. Il se fonde sur les résultats d’une IRM lombaire du 19 octobre 2012 du Dr D_________, un courrier du 27 novembre 2012 du Dr B_________ et la reprise du versement des indemnités journalières par la SUVA de décembre 2012 au 31 décembre 2013.</w:t>
      </w:r>
    </w:p>
    <w:p>
      <w:r>
        <w:t>A/1919/2012 - 15/28 - Or, conformément à la jurisprudence constante du Tribunal fédéral, la légalité d'une décision attaquée doit être appréciée d'après l'état de fait existant au moment où ladite décision a été rendue. Le litige porte ainsi exclusivement sur le droit du recourant à une rente d'invalidité et/ou à des mesures de réadaptation professionnelle de l'assurance-invalidité, plus particulièrement sur sa capacité de travail entre la décision de l’intimé du 24 juillet 2008 et celle du 23 mai 2012, soit le jour où la décision querellée a été rendue. La question de savoir si l'état de santé du recourant s'est péjoré au-delà du 23 mai 2012 et ouvre droit à des prestations de l'assurance-invalidité devra faire l'objet d'une nouvelle décision de l’intimé.</w:t>
      </w:r>
    </w:p>
    <w:p>
      <w:r>
        <w:rPr>
          <w:b/>
        </w:rPr>
        <w:t>E. 6</w:t>
      </w:r>
    </w:p>
    <w:p>
      <w:r>
        <w:t>a) A titre préliminaire, il convient d’examiner la requête du recourant tendant à la révision de la décision initiale rendue par l’intimé le 24 juillet 2008. La Cour de céans relève à cet égard que la décision précitée, soit l’octroi d’une rente entière d’invalidité du 18 décembre 2007 au 30 juin 2008, a été confirmée implicitement par l’arrêt du TCAS, puis par le TF, étant précisé que le recours de l’intimé devant la Haute Cour ne portait que sur l’octroi d’une aide au placement accordée – à tort - par la juridiction cantonale.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Selon une jurisprudence constante, l'administration ne peut revenir sur une décision ou une décision sur opposition que si un juge n'a pas déjà statué matériellement sur celles-ci (ATF 127 V 466 consid. 2c p. 469; 109 V 119 consid. 2b p. 121; arrêts 8C_868/2010 du 6 septembre 2011 consid. 2.1; 8C_787/2008 du 4 février 2009). Au vu des arguments exposés, il apparaît toutefois que le recourant se prévaut d’un motif tiré de la découverte après coup de faits ou moyens de preuve nouveaux afin d’obtenir la révision de l’arrêt du TCAS du 31 mars 2009, entré en force sur la question de la rente. Il sollicite ainsi la révision de l’arrêt précité (art. 61 let. i LPGA ; cf. également art. 80 LPA).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(arrêts 8C_583/2011 du 17 août 2012 consid.</w:t>
      </w:r>
    </w:p>
    <w:p>
      <w:r>
        <w:rPr>
          <w:b/>
        </w:rPr>
        <w:t>E. 7</w:t>
      </w:r>
    </w:p>
    <w:p>
      <w:r>
        <w:t>Reste à examiner le cas sous l’angle de la révision sollicitée par le recourant dans sa nouvelle demande du 19 janvier 2010, en raison d’une rechute survenue en juillet 2009. Aux termes de l’art. 29bis du règlement sur l’assurance-invalidité du 17 janvier 1961 (en sa teneur en vigueur dès le 1er janvier 2008 - RAI, RS 831.201),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8</w:t>
      </w:r>
    </w:p>
    <w:p>
      <w:r>
        <w:t>Selon l’art. 28 al. 1 let. b LAI, l’assuré a droit à une rente lorsqu’il a présenté une incapacité de travail (art. 6 LPGA) d’au moins 40 % en moyenne durant une année sans interruption notable.</w:t>
      </w:r>
    </w:p>
    <w:p>
      <w:r>
        <w:t>A/1919/2012 - 17/28 -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w:t>
      </w:r>
    </w:p>
    <w:p>
      <w:r>
        <w:t>A/1919/2012 - 18/28 -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w:t>
      </w:r>
    </w:p>
    <w:p>
      <w:r>
        <w:t>A/1919/2012 - 19/28 - s'appuyer sur des circonstances de nature à faire apparaître sa propre appréciation comme la mieux appropriée (ATF 126 V 75 consid. 6, ATF 123 V 150 consid. 2 et les références ;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A/1919/2012 - 20/28 - sous la forme d'une nouvelle expertise médicale (ATF 125 V 351 consid. 3b/aa et les références).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a) En l’espèce, une expertise judiciaire a été ordonnée le 7 novembre 2012 par la Cour de céans, d’accord entre les parties. Ladite expertise a été rendue le 6 mai 2013, puis complétée le 11 décembre 2013 sur la question de l’évolution de la capacité de travail du recourant entre le 1er juillet 2009 et le 6 mai 2013, à la demande de la Cour. L’intimé conteste la valeur probante de cette expertise et considère que l’instruction médicale du cas devrait être poursuivie. D’après elle, les experts ne justifient pas les capacités de travail retenues dans les différentes activités habituelles et adaptées du recourant et qui vont à l’encontre des avis médicaux précédents. Pour sa part, le recourant reconnaît la valeur probante de l’expertise. Il remet toutefois en cause une partie des conclusions des experts, considérant qu’une rente entière d’invalidité doit lui être allouée jusqu’à ce que son état de santé soit stabilisé, ce qui n’est pas encore le cas. Dans le cadre de leur expertise du 6 mai 2013 et de leur courrier complémentaire du 11 décembre 2013, les Drs L________, M________ et N________ du CEMED ont diagnostiqué des "lomboscialgies gauches récidivantes sur atteinte radiculaire S1 gauche irritative secondairement à la présence probable d'une hernie discale L5-S1</w:t>
      </w:r>
    </w:p>
    <w:p>
      <w:r>
        <w:t>A/1919/2012 - 21/28 - gauche récidivante avec fibrose post-opératoire intercurrente" présentes depuis le</w:t>
      </w:r>
    </w:p>
    <w:p>
      <w:r>
        <w:rPr>
          <w:b/>
        </w:rPr>
        <w:t>E. 16</w:t>
      </w:r>
    </w:p>
    <w:p>
      <w:r>
        <w:t>Au vu de ce qui précède, le recours sera partiellement admis.</w:t>
      </w:r>
    </w:p>
    <w:p>
      <w:r>
        <w:rPr>
          <w:b/>
        </w:rPr>
        <w:t>E. 17</w:t>
      </w:r>
    </w:p>
    <w:p>
      <w:r>
        <w:t>Le recourant obtenant partiellement gain de cause, une indemnité de 2’500 fr. lui sera accordée à titre de participation à ses frais et dépens (art. 61 let. g LPGA ; art. 6 du règlement sur les frais, émoluments et indemnités en procédure administrative du 30 juillet 1986 - RFPA ; RS/GE 5 10.03). Etant donné que, depuis le 1er juillet 2006, la procédure n'est plus gratuite (art. 69 al. 1bis LAI), au vu du sort du recours, il y a lieu de condamner l'intimé au paiement d'un émolument de 1’000 fr.</w:t>
      </w:r>
    </w:p>
    <w:p>
      <w:r>
        <w:t>A/1919/2012 - 27/28 -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