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ATAS/324/2025 vom 8. Mai 2025</w:t>
      </w:r>
    </w:p>
    <w:p>
      <w:r>
        <w:t>GE Cour de justice, 2025-05-08, FR</w:t>
      </w:r>
    </w:p>
    <w:p>
      <w:r>
        <w:rPr>
          <w:b/>
        </w:rPr>
        <w:t xml:space="preserve">Quelle: </w:t>
      </w:r>
      <w:r>
        <w:t>https://mcp.opencaselaw.ch/entscheid/ge_gerichte_ATAS_324_2025</w:t>
      </w:r>
    </w:p>
    <w:p>
      <w:r>
        <w:t>FR: GE_GERICHTE ATAS/324/2025 du 8 mai 2025</w:t>
      </w:r>
    </w:p>
    <w:p>
      <w:r>
        <w:t>IT: GE_GERICHTE ATAS/324/2025 del 8 maggio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du 30 mars 1911 [CO - RS 220] ; art. 52, 56a al. 1, et art. 73 de la loi fédérale sur la prévoyance professionnelle, vieillesse, survivants et invalidité du 25 juin 1982 [LPP - RS 831.40] ; art. 142 du Code civil du 16 décembre 1907 [CC - RS 210]).</w:t>
      </w:r>
    </w:p>
    <w:p>
      <w:r>
        <w:rPr>
          <w:b/>
        </w:rPr>
        <w:t>E. 1.2</w:t>
      </w:r>
    </w:p>
    <w:p>
      <w:r>
        <w:t>Au 1er janvier 2017 est entrée en vigueur la modification des art. 122 ss CC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LPP, soit à Genève, la chambre des assurances sociales de la Cour de justice, exécute d’office, après que l’affaire lui a été transmise (art. 281 al. 3 CPC), le partage sur la base de la clé de répartition déterminée par le juge du divorce.</w:t>
      </w:r>
    </w:p>
    <w:p>
      <w:r>
        <w:rPr>
          <w:b/>
        </w:rPr>
        <w:t>E. 2.2</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w:t>
      </w:r>
    </w:p>
    <w:p>
      <w:r>
        <w:t>A/3249/2024 5/6 paiements en espèces et les versements en capital effectués durant le mariage ne sont pas pris en compte.</w:t>
      </w:r>
    </w:p>
    <w:p>
      <w:r>
        <w:rPr>
          <w:b/>
        </w:rPr>
        <w:t>E. 3.1</w:t>
      </w:r>
    </w:p>
    <w:p>
      <w:r>
        <w:t>En l’espèce, le juge de première instance a ordonné le partage par moitié des prestations de sortie acquises durant le mariage par les demandeurs. Les dates pertinentes sont, d’une part, celle du mariage, le 4 octobre 2018, d’autre part, le</w:t>
      </w:r>
    </w:p>
    <w:p>
      <w:r>
        <w:rPr>
          <w:b/>
        </w:rPr>
        <w:t>E. 3.2</w:t>
      </w:r>
    </w:p>
    <w:p>
      <w:r>
        <w:t>Il sied de préciser que les mesures d’instruction effectuées par la chambre de céans n’ont pas permis de mettre en évidence d'autres avoirs LPP accumulés par les demandeurs durant la période du mariage. Force est à cet égard de rappeler que seules les cotisations effectivement versées peuvent être prises en considération dans le cadre d'une procédure visant au partage des prestations de sortie en matière de prévoyance professionnelle (ATAS/1365/2012 du 13 novembre 2012 consid. 5).</w:t>
      </w:r>
    </w:p>
    <w:p>
      <w:r>
        <w:rPr>
          <w:b/>
        </w:rPr>
        <w:t>E. 3.3</w:t>
      </w:r>
    </w:p>
    <w:p>
      <w:r>
        <w:t>Selon les investigations menées par la chambre de céans, la demanderesse n'a accumulé aucun avoir de prévoyance en Suisse. Quant au demandeur, les avoirs qu'il a accumulés lui ont été versés à son départ de Suisse, en 2018, respectivement en novembre 2024, de sorte que depuis lors, il n'y a plus aucun avoir à partager. Faute d'avoirs en Suisse, le partage est impossible. 4. Aucun émolument ne sera perçu, la procédure étant gratuite (art. 73 al. 2 LPP et 89H al. 1 de la loi sur la procédure administrative du 12 septembre 1985 [LPA - E 5 10]). ***</w:t>
      </w:r>
    </w:p>
    <w:p>
      <w:r>
        <w:t>A/3249/2024 6/6 PAR CES MOTIFS, LA CHAMBRE DES ASSURANCES SOCIALES :</w:t>
      </w:r>
    </w:p>
    <w:p>
      <w:r>
        <w:rPr>
          <w:b/>
        </w:rPr>
        <w:t>E. 8</w:t>
      </w:r>
    </w:p>
    <w:p>
      <w:r>
        <w:t>décembre 2023, date à laquelle la demande en divorce a été déposée.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